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360" w:lineRule="auto"/>
        <w:jc w:val="center"/>
        <w:rPr>
          <w:rFonts w:ascii="宋体" w:hAnsi="宋体"/>
          <w:b/>
          <w:sz w:val="48"/>
          <w:szCs w:val="48"/>
          <w:u w:val="single"/>
        </w:rPr>
      </w:pPr>
    </w:p>
    <w:p>
      <w:pPr>
        <w:spacing w:line="360" w:lineRule="auto"/>
        <w:jc w:val="center"/>
        <w:rPr>
          <w:rFonts w:hint="eastAsia" w:ascii="宋体" w:hAnsi="宋体"/>
          <w:b/>
          <w:sz w:val="48"/>
          <w:szCs w:val="48"/>
          <w:u w:val="single"/>
        </w:rPr>
      </w:pPr>
      <w:r>
        <w:rPr>
          <w:rFonts w:hint="eastAsia" w:ascii="宋体" w:hAnsi="宋体"/>
          <w:b/>
          <w:sz w:val="48"/>
          <w:szCs w:val="48"/>
          <w:u w:val="single"/>
        </w:rPr>
        <w:t>青龙建昊土门子215MW光伏发电项目-220kV平方站220kV间隔扩建工程</w:t>
      </w:r>
    </w:p>
    <w:p>
      <w:pPr>
        <w:spacing w:line="360" w:lineRule="auto"/>
        <w:jc w:val="center"/>
        <w:rPr>
          <w:rFonts w:ascii="宋体" w:hAnsi="宋体"/>
          <w:b/>
          <w:sz w:val="48"/>
          <w:szCs w:val="48"/>
          <w:u w:val="single"/>
        </w:rPr>
      </w:pPr>
    </w:p>
    <w:p>
      <w:pPr>
        <w:spacing w:line="360" w:lineRule="auto"/>
        <w:jc w:val="center"/>
        <w:rPr>
          <w:rFonts w:ascii="宋体" w:hAnsi="宋体"/>
          <w:b/>
          <w:sz w:val="48"/>
          <w:szCs w:val="48"/>
          <w:u w:val="single"/>
        </w:rPr>
      </w:pPr>
    </w:p>
    <w:p>
      <w:pPr>
        <w:spacing w:line="360" w:lineRule="auto"/>
        <w:jc w:val="center"/>
        <w:rPr>
          <w:rFonts w:ascii="宋体" w:hAnsi="宋体"/>
          <w:b/>
          <w:sz w:val="48"/>
          <w:szCs w:val="48"/>
          <w:u w:val="single"/>
        </w:rPr>
      </w:pPr>
      <w:r>
        <w:rPr>
          <w:rFonts w:hint="eastAsia" w:ascii="宋体" w:hAnsi="宋体"/>
          <w:b/>
          <w:sz w:val="48"/>
          <w:szCs w:val="48"/>
          <w:u w:val="single"/>
        </w:rPr>
        <w:t>电能质量在线监测装置技术规范</w:t>
      </w:r>
    </w:p>
    <w:p>
      <w:pPr>
        <w:spacing w:line="360" w:lineRule="auto"/>
        <w:jc w:val="center"/>
        <w:rPr>
          <w:rFonts w:ascii="方正小标宋简体" w:eastAsia="方正小标宋简体"/>
          <w:sz w:val="72"/>
          <w:szCs w:val="72"/>
        </w:rPr>
      </w:pPr>
    </w:p>
    <w:p>
      <w:pPr>
        <w:spacing w:line="360" w:lineRule="auto"/>
        <w:jc w:val="center"/>
        <w:rPr>
          <w:rFonts w:ascii="方正小标宋简体" w:eastAsia="方正小标宋简体"/>
          <w:sz w:val="72"/>
          <w:szCs w:val="72"/>
        </w:rPr>
      </w:pPr>
    </w:p>
    <w:p>
      <w:pPr>
        <w:spacing w:line="360" w:lineRule="auto"/>
        <w:jc w:val="center"/>
        <w:rPr>
          <w:rFonts w:ascii="宋体" w:hAnsi="宋体"/>
          <w:b/>
          <w:sz w:val="72"/>
          <w:szCs w:val="72"/>
        </w:rPr>
      </w:pPr>
      <w:r>
        <w:rPr>
          <w:rFonts w:hint="eastAsia" w:ascii="方正小标宋简体" w:eastAsia="方正小标宋简体"/>
          <w:sz w:val="72"/>
          <w:szCs w:val="72"/>
        </w:rPr>
        <w:t>招标文件</w:t>
      </w:r>
    </w:p>
    <w:p>
      <w:pPr>
        <w:spacing w:line="360" w:lineRule="auto"/>
        <w:ind w:firstLine="261" w:firstLineChars="50"/>
        <w:jc w:val="center"/>
        <w:rPr>
          <w:rFonts w:ascii="宋体" w:hAnsi="宋体"/>
          <w:b/>
          <w:sz w:val="52"/>
        </w:rPr>
      </w:pPr>
    </w:p>
    <w:p>
      <w:pPr>
        <w:spacing w:line="360" w:lineRule="auto"/>
        <w:ind w:firstLine="261" w:firstLineChars="50"/>
        <w:jc w:val="center"/>
        <w:rPr>
          <w:rFonts w:ascii="宋体" w:hAnsi="宋体"/>
          <w:b/>
          <w:sz w:val="52"/>
        </w:rPr>
      </w:pPr>
    </w:p>
    <w:p>
      <w:pPr>
        <w:spacing w:line="360" w:lineRule="auto"/>
        <w:ind w:firstLine="141" w:firstLineChars="50"/>
        <w:jc w:val="center"/>
        <w:rPr>
          <w:rFonts w:ascii="宋体" w:hAnsi="宋体"/>
          <w:b/>
          <w:sz w:val="28"/>
          <w:szCs w:val="28"/>
        </w:rPr>
      </w:pPr>
      <w:r>
        <w:rPr>
          <w:rFonts w:hint="eastAsia" w:ascii="宋体" w:hAnsi="宋体"/>
          <w:b/>
          <w:sz w:val="28"/>
          <w:szCs w:val="28"/>
          <w:lang w:eastAsia="zh-CN"/>
        </w:rPr>
        <w:t>秦皇岛福电电力工程设计</w:t>
      </w:r>
      <w:r>
        <w:rPr>
          <w:rFonts w:hint="eastAsia" w:ascii="宋体" w:hAnsi="宋体"/>
          <w:b/>
          <w:sz w:val="28"/>
          <w:szCs w:val="28"/>
        </w:rPr>
        <w:t>有限公司</w:t>
      </w:r>
    </w:p>
    <w:p>
      <w:pPr>
        <w:spacing w:line="360" w:lineRule="auto"/>
        <w:ind w:firstLine="141" w:firstLineChars="50"/>
        <w:jc w:val="center"/>
        <w:rPr>
          <w:rFonts w:ascii="宋体" w:hAnsi="宋体"/>
          <w:b/>
          <w:sz w:val="28"/>
          <w:szCs w:val="28"/>
        </w:rPr>
      </w:pPr>
      <w:r>
        <w:rPr>
          <w:rFonts w:hint="eastAsia" w:ascii="宋体" w:hAnsi="宋体"/>
          <w:b/>
          <w:sz w:val="28"/>
          <w:szCs w:val="28"/>
        </w:rPr>
        <w:t>20</w:t>
      </w:r>
      <w:r>
        <w:rPr>
          <w:rFonts w:hint="eastAsia" w:ascii="宋体" w:hAnsi="宋体"/>
          <w:b/>
          <w:sz w:val="28"/>
          <w:szCs w:val="28"/>
          <w:lang w:val="en-US" w:eastAsia="zh-CN"/>
        </w:rPr>
        <w:t>23</w:t>
      </w:r>
      <w:r>
        <w:rPr>
          <w:rFonts w:hint="eastAsia" w:ascii="宋体" w:hAnsi="宋体"/>
          <w:b/>
          <w:sz w:val="28"/>
          <w:szCs w:val="28"/>
        </w:rPr>
        <w:t>年</w:t>
      </w:r>
      <w:r>
        <w:rPr>
          <w:rFonts w:hint="eastAsia" w:ascii="宋体" w:hAnsi="宋体"/>
          <w:b/>
          <w:sz w:val="28"/>
          <w:szCs w:val="28"/>
          <w:lang w:val="en-US" w:eastAsia="zh-CN"/>
        </w:rPr>
        <w:t>4</w:t>
      </w:r>
      <w:r>
        <w:rPr>
          <w:rFonts w:hint="eastAsia" w:ascii="宋体" w:hAnsi="宋体"/>
          <w:b/>
          <w:sz w:val="28"/>
          <w:szCs w:val="28"/>
        </w:rPr>
        <w:t>月</w:t>
      </w:r>
    </w:p>
    <w:p/>
    <w:p/>
    <w:p/>
    <w:p/>
    <w:p/>
    <w:p/>
    <w:p/>
    <w:p/>
    <w:p/>
    <w:p>
      <w:pPr>
        <w:pStyle w:val="2"/>
        <w:keepNext w:val="0"/>
        <w:keepLines w:val="0"/>
        <w:spacing w:before="312" w:after="312" w:line="240" w:lineRule="auto"/>
        <w:ind w:firstLine="0"/>
        <w:jc w:val="center"/>
        <w:textAlignment w:val="auto"/>
        <w:rPr>
          <w:rFonts w:ascii="黑体" w:eastAsia="黑体"/>
          <w:kern w:val="2"/>
          <w:sz w:val="32"/>
          <w:szCs w:val="32"/>
        </w:rPr>
      </w:pPr>
      <w:r>
        <w:br w:type="page"/>
      </w:r>
      <w:r>
        <w:rPr>
          <w:rFonts w:hint="eastAsia" w:ascii="黑体" w:hAnsi="宋体" w:eastAsia="黑体"/>
          <w:sz w:val="32"/>
          <w:szCs w:val="32"/>
        </w:rPr>
        <w:t>电能质量在线监测装置采购标准</w:t>
      </w:r>
      <w:r>
        <w:rPr>
          <w:rFonts w:ascii="黑体" w:hAnsi="宋体" w:eastAsia="黑体"/>
          <w:sz w:val="32"/>
          <w:szCs w:val="32"/>
        </w:rPr>
        <w:br w:type="textWrapping"/>
      </w:r>
      <w:r>
        <w:rPr>
          <w:rFonts w:hint="eastAsia" w:ascii="黑体" w:hAnsi="宋体" w:eastAsia="黑体"/>
          <w:sz w:val="32"/>
          <w:szCs w:val="32"/>
        </w:rPr>
        <w:t>技术规范使用说明</w:t>
      </w:r>
    </w:p>
    <w:p>
      <w:pPr>
        <w:spacing w:line="312" w:lineRule="exact"/>
        <w:ind w:firstLine="420" w:firstLineChars="200"/>
        <w:rPr>
          <w:szCs w:val="21"/>
        </w:rPr>
      </w:pPr>
      <w:r>
        <w:rPr>
          <w:szCs w:val="21"/>
        </w:rPr>
        <w:t>1</w:t>
      </w:r>
      <w:r>
        <w:rPr>
          <w:rFonts w:hint="eastAsia"/>
          <w:szCs w:val="21"/>
        </w:rPr>
        <w:t>. 本标准技术规范分为通用部分、专用部分。</w:t>
      </w:r>
    </w:p>
    <w:p>
      <w:pPr>
        <w:spacing w:line="312" w:lineRule="exact"/>
        <w:ind w:firstLine="420" w:firstLineChars="200"/>
        <w:rPr>
          <w:szCs w:val="21"/>
        </w:rPr>
      </w:pPr>
      <w:r>
        <w:rPr>
          <w:szCs w:val="21"/>
        </w:rPr>
        <w:t>2</w:t>
      </w:r>
      <w:r>
        <w:rPr>
          <w:rFonts w:hint="eastAsia"/>
          <w:szCs w:val="21"/>
        </w:rPr>
        <w:t>. 项目单位根据需求选择所需设备的技术规范。技术规范通用部分条款、</w:t>
      </w:r>
      <w:r>
        <w:rPr>
          <w:rFonts w:hint="eastAsia" w:hAnsi="宋体"/>
          <w:szCs w:val="21"/>
        </w:rPr>
        <w:t>专用部分</w:t>
      </w:r>
      <w:r>
        <w:rPr>
          <w:rFonts w:hint="eastAsia"/>
          <w:szCs w:val="21"/>
        </w:rPr>
        <w:t>标准技术参数表和</w:t>
      </w:r>
      <w:r>
        <w:rPr>
          <w:rFonts w:hint="eastAsia"/>
          <w:color w:val="000000"/>
          <w:szCs w:val="21"/>
        </w:rPr>
        <w:t>使用条件表</w:t>
      </w:r>
      <w:r>
        <w:rPr>
          <w:rFonts w:hint="eastAsia" w:hAnsi="宋体"/>
          <w:color w:val="000000"/>
          <w:szCs w:val="21"/>
        </w:rPr>
        <w:t>固化的</w:t>
      </w:r>
      <w:r>
        <w:rPr>
          <w:rFonts w:hint="eastAsia" w:hAnsi="宋体"/>
          <w:szCs w:val="21"/>
        </w:rPr>
        <w:t>参数</w:t>
      </w:r>
      <w:r>
        <w:rPr>
          <w:rFonts w:hint="eastAsia"/>
          <w:szCs w:val="21"/>
        </w:rPr>
        <w:t>原则上不能更改。</w:t>
      </w:r>
    </w:p>
    <w:p>
      <w:pPr>
        <w:spacing w:line="312" w:lineRule="exact"/>
        <w:ind w:firstLine="420" w:firstLineChars="200"/>
        <w:rPr>
          <w:szCs w:val="21"/>
        </w:rPr>
      </w:pPr>
      <w:r>
        <w:rPr>
          <w:szCs w:val="21"/>
        </w:rPr>
        <w:t>3</w:t>
      </w:r>
      <w:r>
        <w:rPr>
          <w:rFonts w:hint="eastAsia"/>
          <w:szCs w:val="21"/>
        </w:rPr>
        <w:t>. 项目单位应按实际要求填写“项目需求部分”。如确实需要改动以下部分，项目单位应填写专用部分中项目单位技术差异表并加盖该网、省公司物资部（招投标管理中心）公章，与辅助说明文件随招标计划一起提交至招标文件审查会：</w:t>
      </w:r>
    </w:p>
    <w:p>
      <w:pPr>
        <w:spacing w:line="312" w:lineRule="exact"/>
        <w:ind w:firstLine="420" w:firstLineChars="200"/>
        <w:rPr>
          <w:rFonts w:hAnsi="宋体"/>
          <w:color w:val="0000FF"/>
          <w:szCs w:val="21"/>
        </w:rPr>
      </w:pPr>
      <w:r>
        <w:rPr>
          <w:rFonts w:hint="eastAsia"/>
          <w:szCs w:val="21"/>
        </w:rPr>
        <w:t>1）改动通用部分条款及</w:t>
      </w:r>
      <w:r>
        <w:rPr>
          <w:rFonts w:hint="eastAsia" w:hAnsi="宋体"/>
          <w:szCs w:val="21"/>
        </w:rPr>
        <w:t>专用部分固化的参数。</w:t>
      </w:r>
    </w:p>
    <w:p>
      <w:pPr>
        <w:spacing w:line="312" w:lineRule="exact"/>
        <w:ind w:firstLine="420" w:firstLineChars="200"/>
        <w:rPr>
          <w:szCs w:val="21"/>
        </w:rPr>
      </w:pPr>
      <w:r>
        <w:rPr>
          <w:rFonts w:hint="eastAsia"/>
          <w:szCs w:val="21"/>
        </w:rPr>
        <w:t>2）项目单位要求值超出标准技术参数值范围</w:t>
      </w:r>
      <w:r>
        <w:rPr>
          <w:rFonts w:hint="eastAsia" w:hAnsi="宋体"/>
          <w:szCs w:val="21"/>
        </w:rPr>
        <w:t>。</w:t>
      </w:r>
    </w:p>
    <w:p>
      <w:pPr>
        <w:spacing w:line="312" w:lineRule="exact"/>
        <w:ind w:firstLine="420" w:firstLineChars="200"/>
        <w:rPr>
          <w:color w:val="000000"/>
          <w:szCs w:val="21"/>
        </w:rPr>
      </w:pPr>
      <w:r>
        <w:rPr>
          <w:rFonts w:hint="eastAsia"/>
          <w:color w:val="000000"/>
          <w:szCs w:val="21"/>
        </w:rPr>
        <w:t>3）根据实际使用条件，需要变更环境温度、湿度、海拔高度、</w:t>
      </w:r>
      <w:r>
        <w:rPr>
          <w:rFonts w:hint="eastAsia" w:ascii="宋体" w:hAnsi="宋体"/>
          <w:color w:val="000000"/>
          <w:szCs w:val="21"/>
        </w:rPr>
        <w:t>耐受地震能力、用途和安装方式</w:t>
      </w:r>
      <w:r>
        <w:rPr>
          <w:rFonts w:hint="eastAsia"/>
          <w:color w:val="000000"/>
          <w:szCs w:val="21"/>
        </w:rPr>
        <w:t>等要求。</w:t>
      </w:r>
    </w:p>
    <w:p>
      <w:pPr>
        <w:spacing w:line="312" w:lineRule="exact"/>
        <w:ind w:firstLine="420" w:firstLineChars="200"/>
        <w:rPr>
          <w:szCs w:val="21"/>
        </w:rPr>
      </w:pPr>
      <w:r>
        <w:rPr>
          <w:rFonts w:hint="eastAsia"/>
          <w:szCs w:val="21"/>
        </w:rPr>
        <w:t>经标书审查会同意后，对专用部分的修改形成项目单位技术差异表，放入专用部分表格中，随招标文件同时发出并视为有效，否则将视为无差异。</w:t>
      </w:r>
    </w:p>
    <w:p>
      <w:pPr>
        <w:spacing w:line="312" w:lineRule="exact"/>
        <w:ind w:firstLine="420" w:firstLineChars="200"/>
        <w:rPr>
          <w:szCs w:val="21"/>
        </w:rPr>
      </w:pPr>
      <w:r>
        <w:rPr>
          <w:szCs w:val="21"/>
        </w:rPr>
        <w:t>4</w:t>
      </w:r>
      <w:r>
        <w:rPr>
          <w:rFonts w:hint="eastAsia"/>
          <w:szCs w:val="21"/>
        </w:rPr>
        <w:t>. 投标人逐项响应技术规范专用部分中标准技术参数表、项目需求部分和投标人响应部分三部分相应内容。填写投标人响应部分，应严格按招标文件技术规范专用部分的“招标人要求值”一栏填写相应的投标人响应部分的表格。投标人还应对项目需求部分的项目单位技术差异表中给出的参数进行响应。项目单位技术差异表与标准技术参数表和使用条件表中参数不同时，以项目单位技术差异表中给出的参数为准。</w:t>
      </w:r>
      <w:r>
        <w:rPr>
          <w:rFonts w:hint="eastAsia" w:ascii="宋体" w:hAnsi="宋体"/>
          <w:szCs w:val="21"/>
        </w:rPr>
        <w:t>投标人填写技术参数表时，如有偏差除填写投标人技术偏差表外，</w:t>
      </w:r>
      <w:r>
        <w:rPr>
          <w:rFonts w:hint="eastAsia"/>
          <w:szCs w:val="21"/>
        </w:rPr>
        <w:t>必要时应提供证明参数优于招标人要求的相关试验报告。</w:t>
      </w:r>
    </w:p>
    <w:p>
      <w:pPr>
        <w:spacing w:line="312" w:lineRule="exact"/>
        <w:ind w:firstLine="420" w:firstLineChars="200"/>
        <w:rPr>
          <w:szCs w:val="21"/>
        </w:rPr>
      </w:pPr>
      <w:r>
        <w:rPr>
          <w:szCs w:val="21"/>
        </w:rPr>
        <w:t>5</w:t>
      </w:r>
      <w:r>
        <w:rPr>
          <w:rFonts w:hint="eastAsia"/>
          <w:szCs w:val="21"/>
        </w:rPr>
        <w:t>. 对扩建工程，如有需要，项目单位应在专用部分提出与原工程相适应的一次、二次及土建的接口要求。</w:t>
      </w:r>
    </w:p>
    <w:p>
      <w:pPr>
        <w:pStyle w:val="11"/>
        <w:spacing w:line="312" w:lineRule="exact"/>
        <w:ind w:firstLine="420" w:firstLineChars="200"/>
        <w:rPr>
          <w:szCs w:val="21"/>
        </w:rPr>
      </w:pPr>
      <w:r>
        <w:rPr>
          <w:szCs w:val="21"/>
        </w:rPr>
        <w:t>6</w:t>
      </w:r>
      <w:r>
        <w:rPr>
          <w:rFonts w:hint="eastAsia"/>
          <w:szCs w:val="21"/>
        </w:rPr>
        <w:t>. 技术规范的页面、标题、标准参数值等均为统一格式，不得随意更改。</w:t>
      </w:r>
    </w:p>
    <w:p>
      <w:pPr>
        <w:pStyle w:val="11"/>
        <w:spacing w:line="312" w:lineRule="exact"/>
        <w:ind w:firstLine="420" w:firstLineChars="200"/>
        <w:rPr>
          <w:szCs w:val="21"/>
        </w:rPr>
      </w:pPr>
      <w:r>
        <w:rPr>
          <w:rFonts w:hint="eastAsia"/>
          <w:szCs w:val="21"/>
        </w:rPr>
        <w:t>7. 一次设备的型式、电气主接线和一次系统情况对二次设备的配置和功能要求影响较大，应在专用部分中详细说明。</w:t>
      </w:r>
    </w:p>
    <w:p>
      <w:pPr>
        <w:pStyle w:val="2"/>
        <w:keepNext w:val="0"/>
        <w:keepLines w:val="0"/>
        <w:spacing w:line="1200" w:lineRule="auto"/>
        <w:ind w:firstLine="0"/>
        <w:jc w:val="center"/>
        <w:textAlignment w:val="auto"/>
        <w:rPr>
          <w:rFonts w:ascii="宋体" w:hAnsi="宋体"/>
        </w:rPr>
      </w:pPr>
    </w:p>
    <w:p>
      <w:pPr>
        <w:pStyle w:val="2"/>
        <w:keepNext w:val="0"/>
        <w:keepLines w:val="0"/>
        <w:spacing w:line="1200" w:lineRule="auto"/>
        <w:ind w:firstLine="0"/>
        <w:jc w:val="center"/>
        <w:textAlignment w:val="auto"/>
        <w:rPr>
          <w:rFonts w:ascii="宋体" w:hAnsi="宋体"/>
        </w:rPr>
      </w:pPr>
    </w:p>
    <w:p>
      <w:pPr>
        <w:pStyle w:val="2"/>
        <w:keepNext w:val="0"/>
        <w:keepLines w:val="0"/>
        <w:spacing w:line="1200" w:lineRule="auto"/>
        <w:ind w:firstLine="0"/>
        <w:jc w:val="center"/>
        <w:textAlignment w:val="auto"/>
        <w:rPr>
          <w:rFonts w:ascii="宋体" w:hAnsi="宋体"/>
        </w:rPr>
      </w:pPr>
    </w:p>
    <w:p>
      <w:pPr>
        <w:pStyle w:val="2"/>
        <w:keepNext w:val="0"/>
        <w:keepLines w:val="0"/>
        <w:spacing w:line="1200" w:lineRule="auto"/>
        <w:ind w:firstLine="0"/>
        <w:jc w:val="center"/>
        <w:textAlignment w:val="auto"/>
        <w:rPr>
          <w:rFonts w:ascii="宋体" w:hAnsi="宋体"/>
        </w:rPr>
      </w:pPr>
    </w:p>
    <w:p/>
    <w:p>
      <w:pPr>
        <w:topLinePunct/>
        <w:ind w:firstLine="18" w:firstLineChars="4"/>
        <w:jc w:val="center"/>
        <w:rPr>
          <w:rFonts w:eastAsia="黑体"/>
          <w:b/>
          <w:sz w:val="44"/>
          <w:u w:val="single"/>
        </w:rPr>
      </w:pPr>
      <w:r>
        <w:rPr>
          <w:rFonts w:hint="eastAsia" w:eastAsia="黑体"/>
          <w:b/>
          <w:sz w:val="44"/>
          <w:u w:val="single"/>
        </w:rPr>
        <w:t>电能质量在线监测装置</w:t>
      </w:r>
    </w:p>
    <w:p>
      <w:pPr>
        <w:topLinePunct/>
        <w:ind w:firstLine="22" w:firstLineChars="4"/>
        <w:jc w:val="center"/>
        <w:rPr>
          <w:rFonts w:eastAsia="方正小标宋简体"/>
          <w:spacing w:val="40"/>
          <w:sz w:val="48"/>
          <w:szCs w:val="48"/>
        </w:rPr>
      </w:pPr>
      <w:r>
        <w:rPr>
          <w:rFonts w:hint="eastAsia" w:eastAsia="方正小标宋简体"/>
          <w:spacing w:val="40"/>
          <w:sz w:val="48"/>
          <w:szCs w:val="48"/>
        </w:rPr>
        <w:t>通</w:t>
      </w:r>
      <w:r>
        <w:rPr>
          <w:rFonts w:eastAsia="方正小标宋简体"/>
          <w:spacing w:val="40"/>
          <w:sz w:val="48"/>
          <w:szCs w:val="48"/>
        </w:rPr>
        <w:t>用</w:t>
      </w:r>
      <w:r>
        <w:rPr>
          <w:rFonts w:hint="eastAsia" w:eastAsia="方正小标宋简体"/>
          <w:spacing w:val="40"/>
          <w:sz w:val="48"/>
          <w:szCs w:val="48"/>
        </w:rPr>
        <w:t>技术规范</w:t>
      </w:r>
    </w:p>
    <w:p>
      <w:pPr>
        <w:pStyle w:val="2"/>
        <w:keepNext w:val="0"/>
        <w:keepLines w:val="0"/>
        <w:spacing w:line="1200" w:lineRule="auto"/>
        <w:ind w:firstLine="0"/>
        <w:jc w:val="center"/>
        <w:textAlignment w:val="auto"/>
        <w:rPr>
          <w:rFonts w:ascii="黑体" w:eastAsia="黑体"/>
          <w:kern w:val="2"/>
          <w:sz w:val="32"/>
          <w:szCs w:val="20"/>
        </w:rPr>
      </w:pPr>
      <w:r>
        <w:rPr>
          <w:rFonts w:hint="eastAsia" w:ascii="宋体" w:hAnsi="宋体"/>
        </w:rPr>
        <w:br w:type="page"/>
      </w:r>
      <w:bookmarkStart w:id="0" w:name="_Toc250740458"/>
      <w:bookmarkStart w:id="1" w:name="_Toc250484017"/>
      <w:bookmarkStart w:id="2" w:name="_Toc250621491"/>
      <w:bookmarkStart w:id="3" w:name="_Toc252535461"/>
      <w:bookmarkStart w:id="4" w:name="_Toc250621605"/>
      <w:bookmarkStart w:id="5" w:name="_Toc250741106"/>
      <w:bookmarkStart w:id="6" w:name="_Toc247855636"/>
      <w:bookmarkStart w:id="7" w:name="_Toc250485448"/>
      <w:r>
        <w:rPr>
          <w:rFonts w:hint="eastAsia" w:ascii="黑体" w:eastAsia="黑体"/>
          <w:kern w:val="2"/>
          <w:sz w:val="32"/>
          <w:szCs w:val="20"/>
        </w:rPr>
        <w:t>目　　次</w:t>
      </w:r>
    </w:p>
    <w:p>
      <w:pPr>
        <w:pStyle w:val="6"/>
      </w:pPr>
      <w:r>
        <w:rPr>
          <w:rFonts w:hint="eastAsia" w:ascii="宋体" w:hAnsi="宋体"/>
        </w:rPr>
        <w:t>电能质量在线监测装置采购标准技术规范使用说明</w:t>
      </w:r>
      <w:r>
        <w:tab/>
      </w:r>
      <w:r>
        <w:rPr>
          <w:rFonts w:hint="eastAsia"/>
        </w:rPr>
        <w:t>27</w:t>
      </w:r>
    </w:p>
    <w:p>
      <w:pPr>
        <w:pStyle w:val="6"/>
      </w:pPr>
      <w:r>
        <w:t>1</w:t>
      </w:r>
      <w:r>
        <w:rPr>
          <w:rFonts w:hint="eastAsia"/>
        </w:rPr>
        <w:t>　总则</w:t>
      </w:r>
      <w:r>
        <w:tab/>
      </w:r>
      <w:r>
        <w:t>29</w:t>
      </w:r>
    </w:p>
    <w:p>
      <w:pPr>
        <w:pStyle w:val="6"/>
        <w:ind w:firstLine="216" w:firstLineChars="120"/>
      </w:pPr>
      <w:r>
        <w:rPr>
          <w:sz w:val="18"/>
          <w:szCs w:val="18"/>
        </w:rPr>
        <w:t>1.1</w:t>
      </w:r>
      <w:r>
        <w:rPr>
          <w:rFonts w:hint="eastAsia"/>
          <w:sz w:val="18"/>
          <w:szCs w:val="18"/>
        </w:rPr>
        <w:t>　引言</w:t>
      </w:r>
      <w:r>
        <w:tab/>
      </w:r>
      <w:r>
        <w:t>29</w:t>
      </w:r>
    </w:p>
    <w:p>
      <w:pPr>
        <w:pStyle w:val="6"/>
        <w:ind w:firstLine="216" w:firstLineChars="120"/>
      </w:pPr>
      <w:r>
        <w:rPr>
          <w:sz w:val="18"/>
          <w:szCs w:val="18"/>
        </w:rPr>
        <w:t>1.2</w:t>
      </w:r>
      <w:r>
        <w:rPr>
          <w:rFonts w:hint="eastAsia"/>
          <w:sz w:val="18"/>
          <w:szCs w:val="18"/>
        </w:rPr>
        <w:t>　供方职责</w:t>
      </w:r>
      <w:r>
        <w:tab/>
      </w:r>
      <w:r>
        <w:t>29</w:t>
      </w:r>
    </w:p>
    <w:p>
      <w:pPr>
        <w:pStyle w:val="6"/>
      </w:pPr>
      <w:r>
        <w:t>2</w:t>
      </w:r>
      <w:r>
        <w:rPr>
          <w:rFonts w:hint="eastAsia"/>
        </w:rPr>
        <w:t>　技术规范要求</w:t>
      </w:r>
      <w:r>
        <w:tab/>
      </w:r>
      <w:r>
        <w:t>29</w:t>
      </w:r>
    </w:p>
    <w:p>
      <w:pPr>
        <w:pStyle w:val="6"/>
        <w:ind w:firstLine="216" w:firstLineChars="120"/>
      </w:pPr>
      <w:r>
        <w:rPr>
          <w:sz w:val="18"/>
          <w:szCs w:val="18"/>
        </w:rPr>
        <w:t>2.1</w:t>
      </w:r>
      <w:r>
        <w:rPr>
          <w:rFonts w:hint="eastAsia"/>
          <w:sz w:val="18"/>
          <w:szCs w:val="18"/>
        </w:rPr>
        <w:t>　规范性引用文件</w:t>
      </w:r>
      <w:r>
        <w:tab/>
      </w:r>
      <w:r>
        <w:t>29</w:t>
      </w:r>
    </w:p>
    <w:p>
      <w:pPr>
        <w:pStyle w:val="6"/>
        <w:ind w:firstLine="216" w:firstLineChars="120"/>
      </w:pPr>
      <w:r>
        <w:rPr>
          <w:sz w:val="18"/>
          <w:szCs w:val="18"/>
        </w:rPr>
        <w:t>2.2</w:t>
      </w:r>
      <w:r>
        <w:rPr>
          <w:rFonts w:hint="eastAsia"/>
          <w:sz w:val="18"/>
          <w:szCs w:val="18"/>
        </w:rPr>
        <w:t>　使用环境条件</w:t>
      </w:r>
      <w:r>
        <w:tab/>
      </w:r>
      <w:r>
        <w:t>30</w:t>
      </w:r>
    </w:p>
    <w:p>
      <w:pPr>
        <w:pStyle w:val="6"/>
        <w:ind w:firstLine="216" w:firstLineChars="120"/>
      </w:pPr>
      <w:r>
        <w:rPr>
          <w:sz w:val="18"/>
          <w:szCs w:val="18"/>
        </w:rPr>
        <w:t>2.3</w:t>
      </w:r>
      <w:r>
        <w:rPr>
          <w:rFonts w:hint="eastAsia"/>
          <w:sz w:val="18"/>
          <w:szCs w:val="18"/>
        </w:rPr>
        <w:t>　装置额定参数</w:t>
      </w:r>
      <w:r>
        <w:tab/>
      </w:r>
      <w:r>
        <w:t>30</w:t>
      </w:r>
    </w:p>
    <w:p>
      <w:pPr>
        <w:pStyle w:val="6"/>
        <w:ind w:firstLine="216" w:firstLineChars="120"/>
      </w:pPr>
      <w:r>
        <w:rPr>
          <w:sz w:val="18"/>
          <w:szCs w:val="18"/>
        </w:rPr>
        <w:t>2.4</w:t>
      </w:r>
      <w:r>
        <w:rPr>
          <w:rFonts w:hint="eastAsia"/>
          <w:sz w:val="18"/>
          <w:szCs w:val="18"/>
        </w:rPr>
        <w:t>　装置功率消耗</w:t>
      </w:r>
      <w:r>
        <w:tab/>
      </w:r>
      <w:r>
        <w:t>30</w:t>
      </w:r>
    </w:p>
    <w:p>
      <w:pPr>
        <w:pStyle w:val="6"/>
        <w:ind w:firstLine="216" w:firstLineChars="120"/>
      </w:pPr>
      <w:r>
        <w:rPr>
          <w:sz w:val="18"/>
          <w:szCs w:val="18"/>
        </w:rPr>
        <w:t>2.5</w:t>
      </w:r>
      <w:r>
        <w:rPr>
          <w:rFonts w:hint="eastAsia"/>
          <w:sz w:val="18"/>
          <w:szCs w:val="18"/>
        </w:rPr>
        <w:t>　电能质量在线监测装置总的技术要求</w:t>
      </w:r>
      <w:r>
        <w:tab/>
      </w:r>
      <w:r>
        <w:t>30</w:t>
      </w:r>
    </w:p>
    <w:p>
      <w:pPr>
        <w:pStyle w:val="6"/>
      </w:pPr>
      <w:r>
        <w:t>3</w:t>
      </w:r>
      <w:r>
        <w:rPr>
          <w:rFonts w:hint="eastAsia"/>
        </w:rPr>
        <w:t>　试验</w:t>
      </w:r>
      <w:r>
        <w:tab/>
      </w:r>
      <w:r>
        <w:t>31</w:t>
      </w:r>
    </w:p>
    <w:p>
      <w:pPr>
        <w:pStyle w:val="6"/>
        <w:ind w:firstLine="216" w:firstLineChars="120"/>
      </w:pPr>
      <w:r>
        <w:rPr>
          <w:sz w:val="18"/>
          <w:szCs w:val="18"/>
        </w:rPr>
        <w:t>3.1</w:t>
      </w:r>
      <w:r>
        <w:rPr>
          <w:rFonts w:hint="eastAsia"/>
          <w:sz w:val="18"/>
          <w:szCs w:val="18"/>
        </w:rPr>
        <w:t>　试验要求</w:t>
      </w:r>
      <w:r>
        <w:tab/>
      </w:r>
      <w:r>
        <w:t>31</w:t>
      </w:r>
    </w:p>
    <w:p>
      <w:pPr>
        <w:pStyle w:val="6"/>
        <w:ind w:firstLine="216" w:firstLineChars="120"/>
      </w:pPr>
      <w:r>
        <w:rPr>
          <w:sz w:val="18"/>
          <w:szCs w:val="18"/>
        </w:rPr>
        <w:t>3.2</w:t>
      </w:r>
      <w:r>
        <w:rPr>
          <w:rFonts w:hint="eastAsia"/>
          <w:sz w:val="18"/>
          <w:szCs w:val="18"/>
        </w:rPr>
        <w:t>　电气性能试验</w:t>
      </w:r>
      <w:r>
        <w:tab/>
      </w:r>
      <w:r>
        <w:t>31</w:t>
      </w:r>
    </w:p>
    <w:p>
      <w:pPr>
        <w:pStyle w:val="6"/>
        <w:ind w:firstLine="216" w:firstLineChars="120"/>
      </w:pPr>
      <w:r>
        <w:rPr>
          <w:sz w:val="18"/>
          <w:szCs w:val="18"/>
        </w:rPr>
        <w:t>3.3</w:t>
      </w:r>
      <w:r>
        <w:rPr>
          <w:rFonts w:hint="eastAsia"/>
          <w:sz w:val="18"/>
          <w:szCs w:val="18"/>
        </w:rPr>
        <w:t>　现场试验</w:t>
      </w:r>
      <w:r>
        <w:tab/>
      </w:r>
      <w:r>
        <w:t>31</w:t>
      </w:r>
    </w:p>
    <w:p>
      <w:pPr>
        <w:pStyle w:val="6"/>
      </w:pPr>
      <w:r>
        <w:t>4</w:t>
      </w:r>
      <w:r>
        <w:rPr>
          <w:rFonts w:hint="eastAsia"/>
        </w:rPr>
        <w:t>　技术服务、设计联络、工厂检验和监造</w:t>
      </w:r>
      <w:r>
        <w:tab/>
      </w:r>
      <w:r>
        <w:t>32</w:t>
      </w:r>
    </w:p>
    <w:p>
      <w:pPr>
        <w:pStyle w:val="6"/>
        <w:ind w:firstLine="216" w:firstLineChars="120"/>
      </w:pPr>
      <w:r>
        <w:rPr>
          <w:sz w:val="18"/>
          <w:szCs w:val="18"/>
        </w:rPr>
        <w:t>4.1</w:t>
      </w:r>
      <w:r>
        <w:rPr>
          <w:rFonts w:hint="eastAsia"/>
          <w:sz w:val="18"/>
          <w:szCs w:val="18"/>
        </w:rPr>
        <w:t>　卖方提供的样本和资料</w:t>
      </w:r>
      <w:r>
        <w:tab/>
      </w:r>
      <w:r>
        <w:t>32</w:t>
      </w:r>
    </w:p>
    <w:p>
      <w:pPr>
        <w:pStyle w:val="6"/>
        <w:ind w:firstLine="216" w:firstLineChars="120"/>
      </w:pPr>
      <w:r>
        <w:rPr>
          <w:sz w:val="18"/>
          <w:szCs w:val="18"/>
        </w:rPr>
        <w:t>4.2</w:t>
      </w:r>
      <w:r>
        <w:rPr>
          <w:rFonts w:hint="eastAsia"/>
          <w:sz w:val="18"/>
          <w:szCs w:val="18"/>
        </w:rPr>
        <w:t>　技术资料、图纸和说明书格式</w:t>
      </w:r>
      <w:r>
        <w:tab/>
      </w:r>
      <w:r>
        <w:t>32</w:t>
      </w:r>
    </w:p>
    <w:p>
      <w:pPr>
        <w:pStyle w:val="6"/>
        <w:ind w:firstLine="216" w:firstLineChars="120"/>
      </w:pPr>
      <w:r>
        <w:rPr>
          <w:sz w:val="18"/>
          <w:szCs w:val="18"/>
        </w:rPr>
        <w:t>4.3</w:t>
      </w:r>
      <w:r>
        <w:rPr>
          <w:rFonts w:hint="eastAsia"/>
          <w:sz w:val="18"/>
          <w:szCs w:val="18"/>
        </w:rPr>
        <w:t>　供确认的图纸</w:t>
      </w:r>
      <w:r>
        <w:tab/>
      </w:r>
      <w:r>
        <w:t>32</w:t>
      </w:r>
    </w:p>
    <w:p>
      <w:pPr>
        <w:pStyle w:val="6"/>
        <w:ind w:firstLine="216" w:firstLineChars="120"/>
      </w:pPr>
      <w:r>
        <w:rPr>
          <w:sz w:val="18"/>
          <w:szCs w:val="18"/>
        </w:rPr>
        <w:t>4.4</w:t>
      </w:r>
      <w:r>
        <w:rPr>
          <w:rFonts w:hint="eastAsia"/>
          <w:sz w:val="18"/>
          <w:szCs w:val="18"/>
        </w:rPr>
        <w:t>　买卖双方设计的图纸</w:t>
      </w:r>
      <w:r>
        <w:tab/>
      </w:r>
      <w:r>
        <w:t>32</w:t>
      </w:r>
    </w:p>
    <w:p>
      <w:pPr>
        <w:pStyle w:val="6"/>
        <w:ind w:firstLine="216" w:firstLineChars="120"/>
      </w:pPr>
      <w:r>
        <w:rPr>
          <w:sz w:val="18"/>
          <w:szCs w:val="18"/>
        </w:rPr>
        <w:t>4.5</w:t>
      </w:r>
      <w:r>
        <w:rPr>
          <w:rFonts w:hint="eastAsia"/>
          <w:sz w:val="18"/>
          <w:szCs w:val="18"/>
        </w:rPr>
        <w:t>　其他资料和说明书</w:t>
      </w:r>
      <w:r>
        <w:tab/>
      </w:r>
      <w:r>
        <w:t>32</w:t>
      </w:r>
    </w:p>
    <w:p>
      <w:pPr>
        <w:pStyle w:val="6"/>
        <w:ind w:firstLine="216" w:firstLineChars="120"/>
      </w:pPr>
      <w:r>
        <w:rPr>
          <w:sz w:val="18"/>
          <w:szCs w:val="18"/>
        </w:rPr>
        <w:t>4.6</w:t>
      </w:r>
      <w:r>
        <w:rPr>
          <w:rFonts w:hint="eastAsia"/>
          <w:sz w:val="18"/>
          <w:szCs w:val="18"/>
        </w:rPr>
        <w:t>　卖方提供的数据</w:t>
      </w:r>
      <w:r>
        <w:tab/>
      </w:r>
      <w:r>
        <w:t>32</w:t>
      </w:r>
    </w:p>
    <w:p>
      <w:pPr>
        <w:pStyle w:val="6"/>
        <w:ind w:firstLine="216" w:firstLineChars="120"/>
      </w:pPr>
      <w:r>
        <w:rPr>
          <w:sz w:val="18"/>
          <w:szCs w:val="18"/>
        </w:rPr>
        <w:t>4.7</w:t>
      </w:r>
      <w:r>
        <w:rPr>
          <w:rFonts w:hint="eastAsia"/>
          <w:sz w:val="18"/>
          <w:szCs w:val="18"/>
        </w:rPr>
        <w:t>　图纸和资料分送单位、套数和地址</w:t>
      </w:r>
      <w:r>
        <w:tab/>
      </w:r>
      <w:r>
        <w:t>33</w:t>
      </w:r>
    </w:p>
    <w:p>
      <w:pPr>
        <w:pStyle w:val="6"/>
        <w:ind w:firstLine="216" w:firstLineChars="120"/>
      </w:pPr>
      <w:r>
        <w:rPr>
          <w:sz w:val="18"/>
          <w:szCs w:val="18"/>
        </w:rPr>
        <w:t>4.8</w:t>
      </w:r>
      <w:r>
        <w:rPr>
          <w:rFonts w:hint="eastAsia"/>
          <w:sz w:val="18"/>
          <w:szCs w:val="18"/>
        </w:rPr>
        <w:t>　设计联络会议</w:t>
      </w:r>
      <w:r>
        <w:tab/>
      </w:r>
      <w:r>
        <w:t>33</w:t>
      </w:r>
    </w:p>
    <w:p>
      <w:pPr>
        <w:pStyle w:val="6"/>
        <w:ind w:firstLine="216" w:firstLineChars="120"/>
      </w:pPr>
      <w:r>
        <w:rPr>
          <w:sz w:val="18"/>
          <w:szCs w:val="18"/>
        </w:rPr>
        <w:t>4.9</w:t>
      </w:r>
      <w:r>
        <w:rPr>
          <w:rFonts w:hint="eastAsia"/>
          <w:sz w:val="18"/>
          <w:szCs w:val="18"/>
        </w:rPr>
        <w:t>　工厂验收和现场验收</w:t>
      </w:r>
      <w:r>
        <w:tab/>
      </w:r>
      <w:r>
        <w:t>33</w:t>
      </w:r>
    </w:p>
    <w:p>
      <w:pPr>
        <w:pStyle w:val="6"/>
        <w:ind w:firstLine="216" w:firstLineChars="120"/>
      </w:pPr>
      <w:r>
        <w:rPr>
          <w:sz w:val="18"/>
          <w:szCs w:val="18"/>
        </w:rPr>
        <w:t>4.10</w:t>
      </w:r>
      <w:r>
        <w:rPr>
          <w:rFonts w:hint="eastAsia"/>
          <w:sz w:val="18"/>
          <w:szCs w:val="18"/>
        </w:rPr>
        <w:t>　质量保证</w:t>
      </w:r>
      <w:r>
        <w:tab/>
      </w:r>
      <w:r>
        <w:t>33</w:t>
      </w:r>
    </w:p>
    <w:p>
      <w:pPr>
        <w:pStyle w:val="6"/>
        <w:ind w:firstLine="216" w:firstLineChars="120"/>
      </w:pPr>
      <w:r>
        <w:rPr>
          <w:sz w:val="18"/>
          <w:szCs w:val="18"/>
        </w:rPr>
        <w:t>4.11</w:t>
      </w:r>
      <w:r>
        <w:rPr>
          <w:rFonts w:hint="eastAsia"/>
          <w:sz w:val="18"/>
          <w:szCs w:val="18"/>
        </w:rPr>
        <w:t>　项目管理</w:t>
      </w:r>
      <w:r>
        <w:tab/>
      </w:r>
      <w:r>
        <w:t>33</w:t>
      </w:r>
    </w:p>
    <w:p>
      <w:pPr>
        <w:pStyle w:val="6"/>
        <w:ind w:firstLine="216" w:firstLineChars="120"/>
      </w:pPr>
      <w:r>
        <w:rPr>
          <w:sz w:val="18"/>
          <w:szCs w:val="18"/>
        </w:rPr>
        <w:t>4.12</w:t>
      </w:r>
      <w:r>
        <w:rPr>
          <w:rFonts w:hint="eastAsia"/>
          <w:sz w:val="18"/>
          <w:szCs w:val="18"/>
        </w:rPr>
        <w:t>　现场服务</w:t>
      </w:r>
      <w:r>
        <w:tab/>
      </w:r>
      <w:r>
        <w:t>34</w:t>
      </w:r>
    </w:p>
    <w:p>
      <w:pPr>
        <w:pStyle w:val="6"/>
        <w:ind w:firstLine="216" w:firstLineChars="120"/>
      </w:pPr>
      <w:r>
        <w:rPr>
          <w:sz w:val="18"/>
          <w:szCs w:val="18"/>
        </w:rPr>
        <w:t>4.13</w:t>
      </w:r>
      <w:r>
        <w:rPr>
          <w:rFonts w:hint="eastAsia"/>
          <w:sz w:val="18"/>
          <w:szCs w:val="18"/>
        </w:rPr>
        <w:t>　售后服务</w:t>
      </w:r>
      <w:r>
        <w:tab/>
      </w:r>
      <w:r>
        <w:t>34</w:t>
      </w:r>
    </w:p>
    <w:p>
      <w:pPr>
        <w:pStyle w:val="6"/>
        <w:ind w:firstLine="216" w:firstLineChars="120"/>
      </w:pPr>
      <w:r>
        <w:rPr>
          <w:sz w:val="18"/>
          <w:szCs w:val="18"/>
        </w:rPr>
        <w:t>4.14</w:t>
      </w:r>
      <w:r>
        <w:rPr>
          <w:rFonts w:hint="eastAsia"/>
          <w:sz w:val="18"/>
          <w:szCs w:val="18"/>
        </w:rPr>
        <w:t>　备品备件、专用工具及试验仪器</w:t>
      </w:r>
      <w:r>
        <w:tab/>
      </w:r>
      <w:r>
        <w:t>34</w:t>
      </w:r>
    </w:p>
    <w:p>
      <w:pPr>
        <w:pStyle w:val="12"/>
        <w:rPr>
          <w:snapToGrid w:val="0"/>
          <w:kern w:val="0"/>
        </w:rPr>
      </w:pPr>
      <w:r>
        <w:br w:type="page"/>
      </w:r>
      <w:bookmarkStart w:id="8" w:name="_Toc256367580"/>
      <w:r>
        <w:rPr>
          <w:rFonts w:hint="eastAsia"/>
          <w:snapToGrid w:val="0"/>
          <w:kern w:val="0"/>
        </w:rPr>
        <w:t>1　总则</w:t>
      </w:r>
      <w:bookmarkEnd w:id="0"/>
      <w:bookmarkEnd w:id="1"/>
      <w:bookmarkEnd w:id="2"/>
      <w:bookmarkEnd w:id="3"/>
      <w:bookmarkEnd w:id="4"/>
      <w:bookmarkEnd w:id="5"/>
      <w:bookmarkEnd w:id="6"/>
      <w:bookmarkEnd w:id="7"/>
      <w:bookmarkEnd w:id="8"/>
    </w:p>
    <w:p>
      <w:pPr>
        <w:pStyle w:val="13"/>
      </w:pPr>
      <w:bookmarkStart w:id="9" w:name="_Toc250621606"/>
      <w:bookmarkStart w:id="10" w:name="_Toc250740459"/>
      <w:bookmarkStart w:id="11" w:name="_Toc250484018"/>
      <w:bookmarkStart w:id="12" w:name="_Toc256367581"/>
      <w:bookmarkStart w:id="13" w:name="_Toc247855637"/>
      <w:bookmarkStart w:id="14" w:name="_Toc252535462"/>
      <w:bookmarkStart w:id="15" w:name="_Toc250621492"/>
      <w:bookmarkStart w:id="16" w:name="_Toc250741107"/>
      <w:bookmarkStart w:id="17" w:name="_Toc250485449"/>
      <w:r>
        <w:rPr>
          <w:rFonts w:hint="eastAsia"/>
        </w:rPr>
        <w:t>1.1　引言</w:t>
      </w:r>
      <w:bookmarkEnd w:id="9"/>
      <w:bookmarkEnd w:id="10"/>
      <w:bookmarkEnd w:id="11"/>
      <w:bookmarkEnd w:id="12"/>
      <w:bookmarkEnd w:id="13"/>
      <w:bookmarkEnd w:id="14"/>
      <w:bookmarkEnd w:id="15"/>
      <w:bookmarkEnd w:id="16"/>
      <w:bookmarkEnd w:id="17"/>
      <w:r>
        <w:rPr>
          <w:rFonts w:hint="eastAsia"/>
        </w:rPr>
        <w:t xml:space="preserve"> </w:t>
      </w:r>
    </w:p>
    <w:p>
      <w:pPr>
        <w:snapToGrid w:val="0"/>
        <w:spacing w:line="312" w:lineRule="exact"/>
        <w:ind w:firstLine="420" w:firstLineChars="200"/>
        <w:rPr>
          <w:color w:val="000000"/>
        </w:rPr>
      </w:pPr>
      <w:r>
        <w:rPr>
          <w:rFonts w:hint="eastAsia" w:hAnsi="宋体"/>
          <w:color w:val="000000"/>
        </w:rPr>
        <w:t>投标人应具备招标公告所要求的资质，具体资质要求详见招标文件的商务部分。</w:t>
      </w:r>
    </w:p>
    <w:p>
      <w:pPr>
        <w:snapToGrid w:val="0"/>
        <w:spacing w:line="312" w:lineRule="exact"/>
        <w:ind w:firstLine="420" w:firstLineChars="200"/>
        <w:rPr>
          <w:color w:val="000000"/>
        </w:rPr>
      </w:pPr>
      <w:r>
        <w:rPr>
          <w:rFonts w:hint="eastAsia" w:hAnsi="宋体"/>
          <w:color w:val="000000"/>
        </w:rPr>
        <w:t>投标方提供的产品应有部级鉴定文件或等同有效的证明文件。</w:t>
      </w:r>
    </w:p>
    <w:p>
      <w:pPr>
        <w:snapToGrid w:val="0"/>
        <w:spacing w:line="312" w:lineRule="exact"/>
        <w:ind w:firstLine="420" w:firstLineChars="200"/>
        <w:rPr>
          <w:color w:val="000000"/>
        </w:rPr>
      </w:pPr>
      <w:r>
        <w:rPr>
          <w:rFonts w:hint="eastAsia" w:hAnsi="宋体"/>
          <w:color w:val="000000"/>
        </w:rPr>
        <w:t>投标方应提供国家或电力行业级检验检测机构提供的有效期内的检测报告。</w:t>
      </w:r>
    </w:p>
    <w:p>
      <w:pPr>
        <w:snapToGrid w:val="0"/>
        <w:spacing w:line="312" w:lineRule="exact"/>
        <w:rPr>
          <w:color w:val="000000"/>
          <w:spacing w:val="8"/>
          <w:szCs w:val="21"/>
        </w:rPr>
      </w:pPr>
      <w:r>
        <w:rPr>
          <w:rStyle w:val="15"/>
          <w:rFonts w:hint="eastAsia"/>
        </w:rPr>
        <w:t>1.1.1</w:t>
      </w:r>
      <w:r>
        <w:rPr>
          <w:rFonts w:hint="eastAsia"/>
          <w:color w:val="000000"/>
        </w:rPr>
        <w:t xml:space="preserve">  </w:t>
      </w:r>
      <w:r>
        <w:rPr>
          <w:rFonts w:hint="eastAsia" w:hAnsi="宋体"/>
          <w:color w:val="000000"/>
          <w:spacing w:val="8"/>
          <w:szCs w:val="21"/>
        </w:rPr>
        <w:t>本规范提出了</w:t>
      </w:r>
      <w:r>
        <w:rPr>
          <w:rFonts w:hint="eastAsia" w:hAnsi="宋体"/>
          <w:spacing w:val="8"/>
          <w:szCs w:val="21"/>
        </w:rPr>
        <w:t>电能质量在线监测装置</w:t>
      </w:r>
      <w:r>
        <w:rPr>
          <w:rFonts w:hint="eastAsia" w:hAnsi="宋体"/>
          <w:color w:val="000000"/>
          <w:spacing w:val="8"/>
          <w:szCs w:val="21"/>
        </w:rPr>
        <w:t>的功能设计、结构、性能、安装和试验等方面的技术要求。</w:t>
      </w:r>
    </w:p>
    <w:p>
      <w:pPr>
        <w:snapToGrid w:val="0"/>
        <w:spacing w:line="312" w:lineRule="exact"/>
        <w:rPr>
          <w:color w:val="000000"/>
        </w:rPr>
      </w:pPr>
      <w:r>
        <w:rPr>
          <w:rStyle w:val="15"/>
          <w:rFonts w:hint="eastAsia"/>
        </w:rPr>
        <w:t>1.1.2</w:t>
      </w:r>
      <w:r>
        <w:rPr>
          <w:rFonts w:hint="eastAsia"/>
          <w:color w:val="000000"/>
        </w:rPr>
        <w:t xml:space="preserve">  </w:t>
      </w:r>
      <w:r>
        <w:rPr>
          <w:rFonts w:hint="eastAsia" w:hAnsi="宋体"/>
          <w:color w:val="000000"/>
        </w:rPr>
        <w:t>本规范提出的是最低限度的要求，并未对一切技术细节作出规定，也未充分引述有关标准和规范的条文，投标方应提供符合本规范和工业标准的优质产品。</w:t>
      </w:r>
    </w:p>
    <w:p>
      <w:pPr>
        <w:snapToGrid w:val="0"/>
        <w:spacing w:line="312" w:lineRule="exact"/>
        <w:rPr>
          <w:color w:val="000000"/>
        </w:rPr>
      </w:pPr>
      <w:r>
        <w:rPr>
          <w:rStyle w:val="15"/>
          <w:rFonts w:hint="eastAsia"/>
        </w:rPr>
        <w:t>1.1.3</w:t>
      </w:r>
      <w:r>
        <w:rPr>
          <w:color w:val="000000"/>
        </w:rPr>
        <w:t xml:space="preserve"> </w:t>
      </w:r>
      <w:r>
        <w:rPr>
          <w:rFonts w:hint="eastAsia"/>
          <w:color w:val="000000"/>
        </w:rPr>
        <w:t xml:space="preserve"> </w:t>
      </w:r>
      <w:r>
        <w:rPr>
          <w:rFonts w:hint="eastAsia" w:hAnsi="宋体"/>
          <w:color w:val="000000"/>
          <w:spacing w:val="2"/>
          <w:szCs w:val="21"/>
        </w:rPr>
        <w:t>如果投标方没有以书面形式对本规范的条文提出异议，则表示投标方提供的设备完全符合本规范的要求；如有异议，应在报价书中以</w:t>
      </w:r>
      <w:r>
        <w:rPr>
          <w:rFonts w:hint="eastAsia"/>
          <w:color w:val="000000"/>
          <w:spacing w:val="2"/>
          <w:szCs w:val="21"/>
        </w:rPr>
        <w:t>“</w:t>
      </w:r>
      <w:r>
        <w:rPr>
          <w:rFonts w:hint="eastAsia" w:hAnsi="宋体"/>
          <w:color w:val="000000"/>
          <w:spacing w:val="2"/>
          <w:szCs w:val="21"/>
        </w:rPr>
        <w:t>对规范的意见和同规范的差异</w:t>
      </w:r>
      <w:r>
        <w:rPr>
          <w:rFonts w:hint="eastAsia"/>
          <w:color w:val="000000"/>
          <w:spacing w:val="2"/>
          <w:szCs w:val="21"/>
        </w:rPr>
        <w:t>”</w:t>
      </w:r>
      <w:r>
        <w:rPr>
          <w:rFonts w:hint="eastAsia" w:hAnsi="宋体"/>
          <w:color w:val="000000"/>
          <w:spacing w:val="2"/>
          <w:szCs w:val="21"/>
        </w:rPr>
        <w:t>为标题的专门章节中加以详细描述。</w:t>
      </w:r>
    </w:p>
    <w:p>
      <w:pPr>
        <w:snapToGrid w:val="0"/>
        <w:spacing w:line="312" w:lineRule="exact"/>
        <w:rPr>
          <w:color w:val="000000"/>
        </w:rPr>
      </w:pPr>
      <w:r>
        <w:rPr>
          <w:rStyle w:val="15"/>
          <w:rFonts w:hint="eastAsia"/>
        </w:rPr>
        <w:t>1.1.4</w:t>
      </w:r>
      <w:r>
        <w:rPr>
          <w:rFonts w:hint="eastAsia"/>
          <w:color w:val="000000"/>
        </w:rPr>
        <w:t xml:space="preserve">  </w:t>
      </w:r>
      <w:r>
        <w:rPr>
          <w:rFonts w:hint="eastAsia" w:hAnsi="宋体"/>
          <w:color w:val="000000"/>
        </w:rPr>
        <w:t>本规范所使用的标准如遇与投标方所执行的标准不一致按较高的标准执行。</w:t>
      </w:r>
    </w:p>
    <w:p>
      <w:pPr>
        <w:snapToGrid w:val="0"/>
        <w:spacing w:line="312" w:lineRule="exact"/>
        <w:rPr>
          <w:color w:val="000000"/>
        </w:rPr>
      </w:pPr>
      <w:r>
        <w:rPr>
          <w:rStyle w:val="15"/>
          <w:rFonts w:hint="eastAsia"/>
        </w:rPr>
        <w:t>1.1.5</w:t>
      </w:r>
      <w:r>
        <w:rPr>
          <w:rFonts w:hint="eastAsia"/>
          <w:color w:val="000000"/>
        </w:rPr>
        <w:t xml:space="preserve">  </w:t>
      </w:r>
      <w:r>
        <w:rPr>
          <w:rFonts w:hint="eastAsia" w:hAnsi="宋体"/>
          <w:color w:val="000000"/>
        </w:rPr>
        <w:t>本规范经招、投标双方确认后作为订货合同的技术附件，与合同正文具有同等效力。</w:t>
      </w:r>
    </w:p>
    <w:p>
      <w:pPr>
        <w:pStyle w:val="13"/>
        <w:rPr>
          <w:snapToGrid w:val="0"/>
          <w:kern w:val="0"/>
        </w:rPr>
      </w:pPr>
      <w:bookmarkStart w:id="18" w:name="_Toc250484019"/>
      <w:bookmarkStart w:id="19" w:name="_Toc250621607"/>
      <w:bookmarkStart w:id="20" w:name="_Toc256367582"/>
      <w:bookmarkStart w:id="21" w:name="_Toc250621493"/>
      <w:bookmarkStart w:id="22" w:name="_Toc250485450"/>
      <w:bookmarkStart w:id="23" w:name="_Toc250740460"/>
      <w:bookmarkStart w:id="24" w:name="_Toc250741108"/>
      <w:bookmarkStart w:id="25" w:name="_Toc247855638"/>
      <w:bookmarkStart w:id="26" w:name="_Toc252535463"/>
      <w:r>
        <w:rPr>
          <w:snapToGrid w:val="0"/>
          <w:kern w:val="0"/>
        </w:rPr>
        <w:t>1.2</w:t>
      </w:r>
      <w:r>
        <w:rPr>
          <w:rFonts w:hint="eastAsia"/>
          <w:snapToGrid w:val="0"/>
          <w:kern w:val="0"/>
        </w:rPr>
        <w:t>　供方职责</w:t>
      </w:r>
      <w:bookmarkEnd w:id="18"/>
      <w:bookmarkEnd w:id="19"/>
      <w:bookmarkEnd w:id="20"/>
      <w:bookmarkEnd w:id="21"/>
      <w:bookmarkEnd w:id="22"/>
      <w:bookmarkEnd w:id="23"/>
      <w:bookmarkEnd w:id="24"/>
      <w:bookmarkEnd w:id="25"/>
      <w:bookmarkEnd w:id="26"/>
    </w:p>
    <w:p>
      <w:pPr>
        <w:snapToGrid w:val="0"/>
        <w:spacing w:line="312" w:lineRule="exact"/>
        <w:ind w:firstLine="420" w:firstLineChars="200"/>
        <w:rPr>
          <w:color w:val="000000"/>
        </w:rPr>
      </w:pPr>
      <w:r>
        <w:rPr>
          <w:rFonts w:hint="eastAsia" w:hAnsi="宋体"/>
          <w:color w:val="000000"/>
        </w:rPr>
        <w:t>供方的工作范围将包括下列内容，但不仅仅限于此内容：</w:t>
      </w:r>
    </w:p>
    <w:p>
      <w:pPr>
        <w:spacing w:line="312" w:lineRule="exact"/>
        <w:ind w:firstLine="420" w:firstLineChars="200"/>
        <w:rPr>
          <w:color w:val="000000"/>
        </w:rPr>
      </w:pPr>
      <w:r>
        <w:rPr>
          <w:rFonts w:hint="eastAsia"/>
          <w:color w:val="000000"/>
        </w:rPr>
        <w:t xml:space="preserve">1） </w:t>
      </w:r>
      <w:r>
        <w:rPr>
          <w:rFonts w:hint="eastAsia" w:hAnsi="宋体"/>
          <w:color w:val="000000"/>
        </w:rPr>
        <w:t>提供标书内所有设备及设计说明书及制造方面的说明。</w:t>
      </w:r>
    </w:p>
    <w:p>
      <w:pPr>
        <w:spacing w:line="312" w:lineRule="exact"/>
        <w:ind w:left="867" w:leftChars="200" w:hanging="447" w:hangingChars="213"/>
        <w:rPr>
          <w:color w:val="000000"/>
          <w:spacing w:val="-2"/>
        </w:rPr>
      </w:pPr>
      <w:r>
        <w:rPr>
          <w:rFonts w:hint="eastAsia"/>
          <w:color w:val="000000"/>
        </w:rPr>
        <w:t xml:space="preserve">2） </w:t>
      </w:r>
      <w:r>
        <w:rPr>
          <w:rFonts w:hint="eastAsia" w:hAnsi="宋体"/>
          <w:color w:val="000000"/>
          <w:spacing w:val="-2"/>
        </w:rPr>
        <w:t>提供</w:t>
      </w:r>
      <w:r>
        <w:rPr>
          <w:rFonts w:hint="eastAsia" w:hAnsi="宋体"/>
          <w:color w:val="000000"/>
        </w:rPr>
        <w:t>国家或电力行业级检验检测机构</w:t>
      </w:r>
      <w:r>
        <w:rPr>
          <w:rFonts w:hint="eastAsia" w:hAnsi="宋体"/>
          <w:color w:val="000000"/>
          <w:spacing w:val="-2"/>
        </w:rPr>
        <w:t>出具的型式试验报告，以便确认供货设备能否满足所有的性能要求。</w:t>
      </w:r>
    </w:p>
    <w:p>
      <w:pPr>
        <w:spacing w:line="312" w:lineRule="exact"/>
        <w:ind w:firstLine="420" w:firstLineChars="200"/>
        <w:rPr>
          <w:color w:val="000000"/>
        </w:rPr>
      </w:pPr>
      <w:r>
        <w:rPr>
          <w:rFonts w:hint="eastAsia"/>
          <w:color w:val="000000"/>
        </w:rPr>
        <w:t xml:space="preserve">3） </w:t>
      </w:r>
      <w:r>
        <w:rPr>
          <w:rFonts w:hint="eastAsia" w:hAnsi="宋体"/>
          <w:color w:val="000000"/>
        </w:rPr>
        <w:t>提供设备安装、使用的说明书。</w:t>
      </w:r>
    </w:p>
    <w:p>
      <w:pPr>
        <w:spacing w:line="312" w:lineRule="exact"/>
        <w:ind w:firstLine="420" w:firstLineChars="200"/>
        <w:rPr>
          <w:color w:val="000000"/>
        </w:rPr>
      </w:pPr>
      <w:r>
        <w:rPr>
          <w:rFonts w:hint="eastAsia"/>
          <w:color w:val="000000"/>
        </w:rPr>
        <w:t xml:space="preserve">4） </w:t>
      </w:r>
      <w:r>
        <w:rPr>
          <w:rFonts w:hint="eastAsia" w:hAnsi="宋体"/>
          <w:color w:val="000000"/>
        </w:rPr>
        <w:t>提供试验和检验的标准，包括试验报告和试验数据。</w:t>
      </w:r>
    </w:p>
    <w:p>
      <w:pPr>
        <w:spacing w:line="312" w:lineRule="exact"/>
        <w:ind w:firstLine="420" w:firstLineChars="200"/>
        <w:rPr>
          <w:color w:val="000000"/>
        </w:rPr>
      </w:pPr>
      <w:r>
        <w:rPr>
          <w:rFonts w:hint="eastAsia"/>
          <w:color w:val="000000"/>
        </w:rPr>
        <w:t xml:space="preserve">5） </w:t>
      </w:r>
      <w:r>
        <w:rPr>
          <w:rFonts w:hint="eastAsia" w:hAnsi="宋体"/>
          <w:color w:val="000000"/>
        </w:rPr>
        <w:t>提供图纸、制造和质量保证过程的一览表以及标书规定的其他资料。</w:t>
      </w:r>
    </w:p>
    <w:p>
      <w:pPr>
        <w:spacing w:line="312" w:lineRule="exact"/>
        <w:ind w:firstLine="420" w:firstLineChars="200"/>
        <w:rPr>
          <w:color w:val="000000"/>
        </w:rPr>
      </w:pPr>
      <w:r>
        <w:rPr>
          <w:rFonts w:hint="eastAsia"/>
          <w:color w:val="000000"/>
        </w:rPr>
        <w:t xml:space="preserve">6） </w:t>
      </w:r>
      <w:r>
        <w:rPr>
          <w:rFonts w:hint="eastAsia" w:hAnsi="宋体"/>
          <w:color w:val="000000"/>
        </w:rPr>
        <w:t>提供设备管理和运行所需有关资料。</w:t>
      </w:r>
    </w:p>
    <w:p>
      <w:pPr>
        <w:spacing w:line="312" w:lineRule="exact"/>
        <w:ind w:firstLine="420" w:firstLineChars="200"/>
        <w:rPr>
          <w:color w:val="000000"/>
        </w:rPr>
      </w:pPr>
      <w:r>
        <w:rPr>
          <w:rFonts w:hint="eastAsia"/>
          <w:color w:val="000000"/>
        </w:rPr>
        <w:t xml:space="preserve">7） </w:t>
      </w:r>
      <w:r>
        <w:rPr>
          <w:rFonts w:hint="eastAsia" w:hAnsi="宋体"/>
          <w:color w:val="000000"/>
        </w:rPr>
        <w:t>所提供设备应发运到规定的目的地。</w:t>
      </w:r>
    </w:p>
    <w:p>
      <w:pPr>
        <w:spacing w:line="312" w:lineRule="exact"/>
        <w:ind w:left="867" w:leftChars="200" w:hanging="447" w:hangingChars="213"/>
        <w:rPr>
          <w:color w:val="000000"/>
        </w:rPr>
      </w:pPr>
      <w:r>
        <w:rPr>
          <w:rFonts w:hint="eastAsia"/>
          <w:color w:val="000000"/>
        </w:rPr>
        <w:t xml:space="preserve">8） </w:t>
      </w:r>
      <w:r>
        <w:rPr>
          <w:rFonts w:hint="eastAsia" w:hAnsi="宋体"/>
          <w:color w:val="000000"/>
        </w:rPr>
        <w:t>如标准、规范与本规范有明显的冲突，则供方应在制造设备前，用书面形式将冲突和解决办法告知需方，并经需方确认后，才能进行设备制造。</w:t>
      </w:r>
    </w:p>
    <w:p>
      <w:pPr>
        <w:spacing w:line="312" w:lineRule="exact"/>
        <w:ind w:firstLine="420" w:firstLineChars="200"/>
        <w:rPr>
          <w:color w:val="000000"/>
        </w:rPr>
      </w:pPr>
      <w:r>
        <w:rPr>
          <w:rFonts w:hint="eastAsia"/>
          <w:color w:val="000000"/>
        </w:rPr>
        <w:t xml:space="preserve">9） </w:t>
      </w:r>
      <w:r>
        <w:rPr>
          <w:rFonts w:hint="eastAsia" w:hAnsi="宋体"/>
          <w:color w:val="000000"/>
        </w:rPr>
        <w:t>在更换所用的准则、标准、规程或修改设备技术数据时，供方有责任接受需方的选择。</w:t>
      </w:r>
    </w:p>
    <w:p>
      <w:pPr>
        <w:spacing w:line="312" w:lineRule="exact"/>
        <w:ind w:firstLine="420" w:firstLineChars="200"/>
        <w:rPr>
          <w:color w:val="000000"/>
          <w:sz w:val="24"/>
        </w:rPr>
      </w:pPr>
      <w:r>
        <w:rPr>
          <w:rFonts w:hint="eastAsia"/>
          <w:color w:val="000000"/>
        </w:rPr>
        <w:t>10）</w:t>
      </w:r>
      <w:r>
        <w:rPr>
          <w:rFonts w:hint="eastAsia" w:hAnsi="宋体"/>
          <w:color w:val="000000"/>
        </w:rPr>
        <w:t>现场服务。</w:t>
      </w:r>
    </w:p>
    <w:p>
      <w:pPr>
        <w:pStyle w:val="12"/>
        <w:rPr>
          <w:snapToGrid w:val="0"/>
          <w:kern w:val="0"/>
        </w:rPr>
      </w:pPr>
      <w:bookmarkStart w:id="27" w:name="_Toc247855639"/>
      <w:bookmarkStart w:id="28" w:name="_Toc250485451"/>
      <w:bookmarkStart w:id="29" w:name="_Toc250621494"/>
      <w:bookmarkStart w:id="30" w:name="_Toc250621608"/>
      <w:bookmarkStart w:id="31" w:name="_Toc250484020"/>
      <w:bookmarkStart w:id="32" w:name="_Toc252535464"/>
      <w:bookmarkStart w:id="33" w:name="_Toc250740461"/>
      <w:bookmarkStart w:id="34" w:name="_Toc256367583"/>
      <w:bookmarkStart w:id="35" w:name="_Toc250741109"/>
      <w:r>
        <w:rPr>
          <w:snapToGrid w:val="0"/>
          <w:kern w:val="0"/>
        </w:rPr>
        <w:t>2</w:t>
      </w:r>
      <w:r>
        <w:rPr>
          <w:rFonts w:hint="eastAsia"/>
          <w:snapToGrid w:val="0"/>
          <w:kern w:val="0"/>
        </w:rPr>
        <w:t>　技术规范</w:t>
      </w:r>
      <w:r>
        <w:rPr>
          <w:snapToGrid w:val="0"/>
          <w:kern w:val="0"/>
        </w:rPr>
        <w:t>要求</w:t>
      </w:r>
      <w:bookmarkEnd w:id="27"/>
      <w:bookmarkEnd w:id="28"/>
      <w:bookmarkEnd w:id="29"/>
      <w:bookmarkEnd w:id="30"/>
      <w:bookmarkEnd w:id="31"/>
      <w:bookmarkEnd w:id="32"/>
      <w:bookmarkEnd w:id="33"/>
      <w:bookmarkEnd w:id="34"/>
      <w:bookmarkEnd w:id="35"/>
    </w:p>
    <w:p>
      <w:pPr>
        <w:pStyle w:val="13"/>
        <w:rPr>
          <w:snapToGrid w:val="0"/>
          <w:kern w:val="0"/>
        </w:rPr>
      </w:pPr>
      <w:bookmarkStart w:id="36" w:name="_Toc252535465"/>
      <w:bookmarkStart w:id="37" w:name="_Toc250741110"/>
      <w:bookmarkStart w:id="38" w:name="_Toc250484021"/>
      <w:bookmarkStart w:id="39" w:name="_Toc250621495"/>
      <w:bookmarkStart w:id="40" w:name="_Toc250485452"/>
      <w:bookmarkStart w:id="41" w:name="_Toc250621609"/>
      <w:bookmarkStart w:id="42" w:name="_Toc250740462"/>
      <w:bookmarkStart w:id="43" w:name="_Toc256367584"/>
      <w:bookmarkStart w:id="44" w:name="_Toc247855640"/>
      <w:r>
        <w:rPr>
          <w:rFonts w:hint="eastAsia"/>
          <w:snapToGrid w:val="0"/>
          <w:kern w:val="0"/>
        </w:rPr>
        <w:t>2.1　规范性引用文件</w:t>
      </w:r>
      <w:bookmarkEnd w:id="36"/>
      <w:bookmarkEnd w:id="37"/>
      <w:bookmarkEnd w:id="38"/>
      <w:bookmarkEnd w:id="39"/>
      <w:bookmarkEnd w:id="40"/>
      <w:bookmarkEnd w:id="41"/>
      <w:bookmarkEnd w:id="42"/>
      <w:bookmarkEnd w:id="43"/>
    </w:p>
    <w:p>
      <w:pPr>
        <w:spacing w:line="312" w:lineRule="exact"/>
        <w:ind w:firstLine="425"/>
        <w:rPr>
          <w:rFonts w:hAnsi="宋体"/>
          <w:color w:val="000000"/>
          <w:spacing w:val="10"/>
          <w:szCs w:val="21"/>
        </w:rPr>
      </w:pPr>
      <w:r>
        <w:rPr>
          <w:rFonts w:hint="eastAsia" w:hAnsi="宋体"/>
          <w:color w:val="000000"/>
          <w:spacing w:val="10"/>
          <w:szCs w:val="21"/>
        </w:rPr>
        <w:t>装置至少应满足最新版本的表1所列规定、规范和标准的要求，但不限于表1所列规范和标准。</w:t>
      </w:r>
    </w:p>
    <w:p>
      <w:pPr>
        <w:pStyle w:val="16"/>
        <w:rPr>
          <w:spacing w:val="30"/>
        </w:rPr>
      </w:pPr>
      <w:r>
        <w:rPr>
          <w:rFonts w:hint="eastAsia"/>
        </w:rPr>
        <w:t>表1　</w:t>
      </w:r>
      <w:r>
        <w:rPr>
          <w:rFonts w:hint="eastAsia"/>
          <w:spacing w:val="30"/>
        </w:rPr>
        <w:t>规范性引用文件</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68"/>
        <w:gridCol w:w="61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72" w:after="72"/>
            </w:pPr>
            <w:r>
              <w:rPr>
                <w:rFonts w:hint="eastAsia"/>
              </w:rPr>
              <w:t>标  准  号</w:t>
            </w:r>
          </w:p>
        </w:tc>
        <w:tc>
          <w:tcPr>
            <w:tcW w:w="6158" w:type="dxa"/>
            <w:tcMar>
              <w:left w:w="0" w:type="dxa"/>
              <w:right w:w="0" w:type="dxa"/>
            </w:tcMar>
          </w:tcPr>
          <w:p>
            <w:pPr>
              <w:pStyle w:val="20"/>
              <w:spacing w:before="72" w:after="72"/>
            </w:pPr>
            <w:r>
              <w:rPr>
                <w:rFonts w:hint="eastAsia"/>
              </w:rPr>
              <w:t>标  准  名  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72" w:after="72"/>
              <w:ind w:left="42" w:leftChars="20" w:right="42" w:rightChars="20" w:firstLine="180" w:firstLineChars="100"/>
              <w:jc w:val="both"/>
              <w:rPr>
                <w:szCs w:val="21"/>
              </w:rPr>
            </w:pPr>
            <w:r>
              <w:rPr>
                <w:rFonts w:cs="AdobeHeitiStd-Regular"/>
                <w:kern w:val="0"/>
                <w:szCs w:val="21"/>
              </w:rPr>
              <w:t>GB/T 191</w:t>
            </w:r>
          </w:p>
        </w:tc>
        <w:tc>
          <w:tcPr>
            <w:tcW w:w="6158" w:type="dxa"/>
            <w:tcMar>
              <w:left w:w="0" w:type="dxa"/>
              <w:right w:w="0" w:type="dxa"/>
            </w:tcMar>
          </w:tcPr>
          <w:p>
            <w:pPr>
              <w:pStyle w:val="20"/>
              <w:spacing w:before="72" w:after="72"/>
              <w:ind w:left="42" w:leftChars="20" w:right="42" w:rightChars="20" w:firstLine="180" w:firstLineChars="100"/>
              <w:jc w:val="both"/>
              <w:rPr>
                <w:szCs w:val="21"/>
              </w:rPr>
            </w:pPr>
            <w:r>
              <w:rPr>
                <w:rFonts w:hint="eastAsia" w:hAnsi="宋体" w:cs="AdobeHeitiStd-Regular"/>
                <w:kern w:val="0"/>
                <w:szCs w:val="21"/>
              </w:rPr>
              <w:t>包装储运图示标志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72" w:after="72"/>
              <w:ind w:left="42" w:leftChars="20" w:right="42" w:rightChars="20" w:firstLine="180" w:firstLineChars="100"/>
              <w:jc w:val="both"/>
              <w:rPr>
                <w:szCs w:val="21"/>
              </w:rPr>
            </w:pPr>
            <w:r>
              <w:rPr>
                <w:rFonts w:cs="AdobeHeitiStd-Regular"/>
                <w:kern w:val="0"/>
                <w:szCs w:val="21"/>
              </w:rPr>
              <w:t>GB/T 2423.1</w:t>
            </w:r>
          </w:p>
        </w:tc>
        <w:tc>
          <w:tcPr>
            <w:tcW w:w="6158" w:type="dxa"/>
            <w:tcMar>
              <w:left w:w="0" w:type="dxa"/>
              <w:right w:w="0" w:type="dxa"/>
            </w:tcMar>
          </w:tcPr>
          <w:p>
            <w:pPr>
              <w:pStyle w:val="20"/>
              <w:spacing w:before="72" w:after="72"/>
              <w:ind w:left="42" w:leftChars="20" w:right="42" w:rightChars="20" w:firstLine="180" w:firstLineChars="100"/>
              <w:jc w:val="both"/>
              <w:rPr>
                <w:szCs w:val="21"/>
              </w:rPr>
            </w:pPr>
            <w:r>
              <w:rPr>
                <w:rFonts w:hint="eastAsia" w:hAnsi="宋体" w:cs="AdobeHeitiStd-Regular"/>
                <w:kern w:val="0"/>
                <w:szCs w:val="21"/>
              </w:rPr>
              <w:t>电工电子产品环境试验</w:t>
            </w:r>
            <w:r>
              <w:rPr>
                <w:rFonts w:hint="eastAsia" w:cs="AdobeHeitiStd-Regular"/>
                <w:kern w:val="0"/>
                <w:szCs w:val="21"/>
              </w:rPr>
              <w:t xml:space="preserve">  </w:t>
            </w:r>
            <w:r>
              <w:rPr>
                <w:rFonts w:hint="eastAsia" w:hAnsi="宋体" w:cs="AdobeHeitiStd-Regular"/>
                <w:kern w:val="0"/>
                <w:szCs w:val="21"/>
              </w:rPr>
              <w:t>第</w:t>
            </w:r>
            <w:r>
              <w:rPr>
                <w:rFonts w:cs="AdobeHeitiStd-Regular"/>
                <w:kern w:val="0"/>
                <w:szCs w:val="21"/>
              </w:rPr>
              <w:t>2</w:t>
            </w:r>
            <w:r>
              <w:rPr>
                <w:rFonts w:hint="eastAsia" w:hAnsi="宋体" w:cs="AdobeHeitiStd-Regular"/>
                <w:kern w:val="0"/>
                <w:szCs w:val="21"/>
              </w:rPr>
              <w:t>部分</w:t>
            </w:r>
            <w:r>
              <w:rPr>
                <w:rFonts w:cs="AdobeHeitiStd-Regular"/>
                <w:kern w:val="0"/>
                <w:szCs w:val="21"/>
              </w:rPr>
              <w:t>：</w:t>
            </w:r>
            <w:r>
              <w:rPr>
                <w:rFonts w:hint="eastAsia" w:hAnsi="宋体" w:cs="AdobeHeitiStd-Regular"/>
                <w:kern w:val="0"/>
                <w:szCs w:val="21"/>
              </w:rPr>
              <w:t>试验方法</w:t>
            </w:r>
            <w:r>
              <w:rPr>
                <w:rFonts w:hint="eastAsia" w:cs="AdobeHeitiStd-Regular"/>
                <w:kern w:val="0"/>
                <w:szCs w:val="21"/>
              </w:rPr>
              <w:t xml:space="preserve"> </w:t>
            </w:r>
            <w:r>
              <w:rPr>
                <w:rFonts w:hint="eastAsia" w:hAnsi="宋体" w:cs="AdobeHeitiStd-Regular"/>
                <w:kern w:val="0"/>
                <w:szCs w:val="21"/>
              </w:rPr>
              <w:t>试验</w:t>
            </w:r>
            <w:r>
              <w:rPr>
                <w:rFonts w:cs="AdobeHeitiStd-Regular"/>
                <w:kern w:val="0"/>
                <w:szCs w:val="21"/>
              </w:rPr>
              <w:t>A：</w:t>
            </w:r>
            <w:r>
              <w:rPr>
                <w:rFonts w:hint="eastAsia" w:hAnsi="宋体" w:cs="AdobeHeitiStd-Regular"/>
                <w:kern w:val="0"/>
                <w:szCs w:val="21"/>
              </w:rPr>
              <w:t>低温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72" w:after="72"/>
              <w:ind w:left="42" w:leftChars="20" w:right="42" w:rightChars="20" w:firstLine="180" w:firstLineChars="100"/>
              <w:jc w:val="both"/>
              <w:rPr>
                <w:szCs w:val="21"/>
              </w:rPr>
            </w:pPr>
            <w:r>
              <w:rPr>
                <w:rFonts w:cs="AdobeHeitiStd-Regular"/>
                <w:kern w:val="0"/>
                <w:szCs w:val="21"/>
              </w:rPr>
              <w:t>GB/T 2423.2</w:t>
            </w:r>
          </w:p>
        </w:tc>
        <w:tc>
          <w:tcPr>
            <w:tcW w:w="6158" w:type="dxa"/>
            <w:tcMar>
              <w:left w:w="0" w:type="dxa"/>
              <w:right w:w="0" w:type="dxa"/>
            </w:tcMar>
          </w:tcPr>
          <w:p>
            <w:pPr>
              <w:pStyle w:val="20"/>
              <w:spacing w:before="72" w:after="72"/>
              <w:ind w:left="42" w:leftChars="20" w:right="42" w:rightChars="20" w:firstLine="180" w:firstLineChars="100"/>
              <w:jc w:val="both"/>
              <w:rPr>
                <w:szCs w:val="21"/>
              </w:rPr>
            </w:pPr>
            <w:r>
              <w:rPr>
                <w:rFonts w:hint="eastAsia" w:hAnsi="宋体" w:cs="AdobeHeitiStd-Regular"/>
                <w:kern w:val="0"/>
                <w:szCs w:val="21"/>
              </w:rPr>
              <w:t>电工电子产品环境试验</w:t>
            </w:r>
            <w:r>
              <w:rPr>
                <w:rFonts w:hint="eastAsia" w:cs="AdobeHeitiStd-Regular"/>
                <w:kern w:val="0"/>
                <w:szCs w:val="21"/>
              </w:rPr>
              <w:t xml:space="preserve">  </w:t>
            </w:r>
            <w:r>
              <w:rPr>
                <w:rFonts w:hint="eastAsia" w:hAnsi="宋体" w:cs="AdobeHeitiStd-Regular"/>
                <w:kern w:val="0"/>
                <w:szCs w:val="21"/>
              </w:rPr>
              <w:t>第</w:t>
            </w:r>
            <w:r>
              <w:rPr>
                <w:rFonts w:cs="AdobeHeitiStd-Regular"/>
                <w:kern w:val="0"/>
                <w:szCs w:val="21"/>
              </w:rPr>
              <w:t>2</w:t>
            </w:r>
            <w:r>
              <w:rPr>
                <w:rFonts w:hint="eastAsia" w:hAnsi="宋体" w:cs="AdobeHeitiStd-Regular"/>
                <w:kern w:val="0"/>
                <w:szCs w:val="21"/>
              </w:rPr>
              <w:t>部分</w:t>
            </w:r>
            <w:r>
              <w:rPr>
                <w:rFonts w:cs="AdobeHeitiStd-Regular"/>
                <w:kern w:val="0"/>
                <w:szCs w:val="21"/>
              </w:rPr>
              <w:t>：</w:t>
            </w:r>
            <w:r>
              <w:rPr>
                <w:rFonts w:hint="eastAsia" w:hAnsi="宋体" w:cs="AdobeHeitiStd-Regular"/>
                <w:kern w:val="0"/>
                <w:szCs w:val="21"/>
              </w:rPr>
              <w:t>试验方法 试验</w:t>
            </w:r>
            <w:r>
              <w:rPr>
                <w:rFonts w:cs="AdobeHeitiStd-Regular"/>
                <w:kern w:val="0"/>
                <w:szCs w:val="21"/>
              </w:rPr>
              <w:t>B：</w:t>
            </w:r>
            <w:r>
              <w:rPr>
                <w:rFonts w:hint="eastAsia" w:hAnsi="宋体" w:cs="AdobeHeitiStd-Regular"/>
                <w:kern w:val="0"/>
                <w:szCs w:val="21"/>
              </w:rPr>
              <w:t>高温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72" w:after="72"/>
              <w:ind w:left="42" w:leftChars="20" w:right="42" w:rightChars="20" w:firstLine="180" w:firstLineChars="100"/>
              <w:jc w:val="both"/>
              <w:rPr>
                <w:szCs w:val="21"/>
              </w:rPr>
            </w:pPr>
            <w:r>
              <w:rPr>
                <w:rFonts w:cs="AdobeHeitiStd-Regular"/>
                <w:kern w:val="0"/>
                <w:szCs w:val="21"/>
              </w:rPr>
              <w:t>GB/T 2423.4</w:t>
            </w:r>
          </w:p>
        </w:tc>
        <w:tc>
          <w:tcPr>
            <w:tcW w:w="6158" w:type="dxa"/>
            <w:tcMar>
              <w:left w:w="0" w:type="dxa"/>
              <w:right w:w="0" w:type="dxa"/>
            </w:tcMar>
          </w:tcPr>
          <w:p>
            <w:pPr>
              <w:pStyle w:val="20"/>
              <w:spacing w:before="72" w:after="72"/>
              <w:ind w:left="42" w:leftChars="20" w:right="42" w:rightChars="20" w:firstLine="180" w:firstLineChars="100"/>
              <w:jc w:val="both"/>
              <w:rPr>
                <w:szCs w:val="21"/>
              </w:rPr>
            </w:pPr>
            <w:r>
              <w:rPr>
                <w:rFonts w:hint="eastAsia" w:hAnsi="宋体" w:cs="AdobeHeitiStd-Regular"/>
                <w:kern w:val="0"/>
                <w:szCs w:val="21"/>
              </w:rPr>
              <w:t>电工电子产品基本环境试验规程</w:t>
            </w:r>
            <w:r>
              <w:rPr>
                <w:rFonts w:hint="eastAsia" w:cs="AdobeHeitiStd-Regular"/>
                <w:kern w:val="0"/>
                <w:szCs w:val="21"/>
              </w:rPr>
              <w:t xml:space="preserve">  </w:t>
            </w:r>
            <w:r>
              <w:rPr>
                <w:rFonts w:hint="eastAsia" w:hAnsi="宋体" w:cs="AdobeHeitiStd-Regular"/>
                <w:kern w:val="0"/>
                <w:szCs w:val="21"/>
              </w:rPr>
              <w:t>试验</w:t>
            </w:r>
            <w:r>
              <w:rPr>
                <w:rFonts w:cs="AdobeHeitiStd-Regular"/>
                <w:kern w:val="0"/>
                <w:szCs w:val="21"/>
              </w:rPr>
              <w:t>Db：</w:t>
            </w:r>
            <w:r>
              <w:rPr>
                <w:rFonts w:hint="eastAsia" w:hAnsi="宋体" w:cs="AdobeHeitiStd-Regular"/>
                <w:kern w:val="0"/>
                <w:szCs w:val="21"/>
              </w:rPr>
              <w:t>交变湿热试验方法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2423.5</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电工电子产品环境试验  第2部分</w:t>
            </w:r>
            <w:r>
              <w:rPr>
                <w:rFonts w:hint="eastAsia" w:cs="AdobeHeitiStd-Regular"/>
                <w:kern w:val="0"/>
                <w:szCs w:val="21"/>
              </w:rPr>
              <w:t>：</w:t>
            </w:r>
            <w:r>
              <w:rPr>
                <w:rFonts w:hint="eastAsia" w:hAnsi="宋体" w:cs="AdobeHeitiStd-Regular"/>
                <w:kern w:val="0"/>
                <w:szCs w:val="21"/>
              </w:rPr>
              <w:t>试验方法</w:t>
            </w:r>
            <w:r>
              <w:rPr>
                <w:rFonts w:hint="eastAsia" w:cs="AdobeHeitiStd-Regular"/>
                <w:kern w:val="0"/>
                <w:szCs w:val="21"/>
              </w:rPr>
              <w:t xml:space="preserve"> </w:t>
            </w:r>
            <w:r>
              <w:rPr>
                <w:rFonts w:hint="eastAsia" w:hAnsi="宋体" w:cs="AdobeHeitiStd-Regular"/>
                <w:kern w:val="0"/>
                <w:szCs w:val="21"/>
              </w:rPr>
              <w:t>试验</w:t>
            </w:r>
            <w:r>
              <w:rPr>
                <w:rFonts w:cs="AdobeHeitiStd-Regular"/>
                <w:kern w:val="0"/>
                <w:szCs w:val="21"/>
              </w:rPr>
              <w:t>Ea</w:t>
            </w:r>
            <w:r>
              <w:rPr>
                <w:rFonts w:hint="eastAsia" w:hAnsi="宋体" w:cs="AdobeHeitiStd-Regular"/>
                <w:kern w:val="0"/>
                <w:szCs w:val="21"/>
              </w:rPr>
              <w:t>和导则</w:t>
            </w:r>
            <w:r>
              <w:rPr>
                <w:rFonts w:cs="AdobeHeitiStd-Regular"/>
                <w:kern w:val="0"/>
                <w:szCs w:val="21"/>
              </w:rPr>
              <w:t>：</w:t>
            </w:r>
            <w:r>
              <w:rPr>
                <w:rFonts w:hint="eastAsia" w:hAnsi="宋体" w:cs="AdobeHeitiStd-Regular"/>
                <w:kern w:val="0"/>
                <w:szCs w:val="21"/>
              </w:rPr>
              <w:t>冲击</w:t>
            </w:r>
          </w:p>
        </w:tc>
      </w:tr>
    </w:tbl>
    <w:p>
      <w:pPr>
        <w:pStyle w:val="16"/>
        <w:rPr>
          <w:rFonts w:ascii="宋体" w:hAnsi="宋体" w:eastAsia="宋体"/>
        </w:rPr>
      </w:pPr>
      <w:r>
        <w:rPr>
          <w:rFonts w:hint="eastAsia"/>
        </w:rPr>
        <w:t>表1</w:t>
      </w:r>
      <w:r>
        <w:rPr>
          <w:rFonts w:hint="eastAsia" w:ascii="宋体" w:hAnsi="宋体" w:eastAsia="宋体"/>
        </w:rPr>
        <w:t>（续）</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68"/>
        <w:gridCol w:w="61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Borders>
              <w:top w:val="single" w:color="auto" w:sz="8" w:space="0"/>
              <w:left w:val="single" w:color="auto" w:sz="8" w:space="0"/>
              <w:bottom w:val="single" w:color="auto" w:sz="4" w:space="0"/>
              <w:right w:val="single" w:color="auto" w:sz="4" w:space="0"/>
            </w:tcBorders>
            <w:tcMar>
              <w:left w:w="0" w:type="dxa"/>
              <w:right w:w="0" w:type="dxa"/>
            </w:tcMar>
          </w:tcPr>
          <w:p>
            <w:pPr>
              <w:pStyle w:val="20"/>
              <w:spacing w:before="67" w:after="67"/>
              <w:rPr>
                <w:rFonts w:cs="AdobeHeitiStd-Regular"/>
                <w:kern w:val="0"/>
                <w:szCs w:val="21"/>
              </w:rPr>
            </w:pPr>
            <w:r>
              <w:rPr>
                <w:rFonts w:hint="eastAsia" w:cs="AdobeHeitiStd-Regular"/>
                <w:kern w:val="0"/>
                <w:szCs w:val="21"/>
              </w:rPr>
              <w:t>标  准  号</w:t>
            </w:r>
          </w:p>
        </w:tc>
        <w:tc>
          <w:tcPr>
            <w:tcW w:w="6158" w:type="dxa"/>
            <w:tcBorders>
              <w:top w:val="single" w:color="auto" w:sz="8" w:space="0"/>
              <w:left w:val="single" w:color="auto" w:sz="4" w:space="0"/>
              <w:bottom w:val="single" w:color="auto" w:sz="4" w:space="0"/>
              <w:right w:val="single" w:color="auto" w:sz="8" w:space="0"/>
            </w:tcBorders>
            <w:tcMar>
              <w:left w:w="0" w:type="dxa"/>
              <w:right w:w="0" w:type="dxa"/>
            </w:tcMar>
          </w:tcPr>
          <w:p>
            <w:pPr>
              <w:pStyle w:val="20"/>
              <w:spacing w:before="67" w:after="67"/>
              <w:rPr>
                <w:rFonts w:hAnsi="宋体" w:cs="AdobeHeitiStd-Regular"/>
                <w:kern w:val="0"/>
                <w:szCs w:val="21"/>
              </w:rPr>
            </w:pPr>
            <w:r>
              <w:rPr>
                <w:rFonts w:hint="eastAsia" w:hAnsi="宋体" w:cs="AdobeHeitiStd-Regular"/>
                <w:kern w:val="0"/>
                <w:szCs w:val="21"/>
              </w:rPr>
              <w:t>标  准  名  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2423.10</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电工电子产品环境试验  第2部分</w:t>
            </w:r>
            <w:r>
              <w:rPr>
                <w:rFonts w:hint="eastAsia" w:cs="AdobeHeitiStd-Regular"/>
                <w:kern w:val="0"/>
                <w:szCs w:val="21"/>
              </w:rPr>
              <w:t>：</w:t>
            </w:r>
            <w:r>
              <w:rPr>
                <w:rFonts w:hint="eastAsia" w:hAnsi="宋体" w:cs="AdobeHeitiStd-Regular"/>
                <w:kern w:val="0"/>
                <w:szCs w:val="21"/>
              </w:rPr>
              <w:t>试验方法</w:t>
            </w:r>
            <w:r>
              <w:rPr>
                <w:rFonts w:hint="eastAsia" w:cs="AdobeHeitiStd-Regular"/>
                <w:kern w:val="0"/>
                <w:szCs w:val="21"/>
              </w:rPr>
              <w:t xml:space="preserve"> </w:t>
            </w:r>
            <w:r>
              <w:rPr>
                <w:rFonts w:hint="eastAsia" w:hAnsi="宋体" w:cs="AdobeHeitiStd-Regular"/>
                <w:kern w:val="0"/>
                <w:szCs w:val="21"/>
              </w:rPr>
              <w:t>试验</w:t>
            </w:r>
            <w:r>
              <w:rPr>
                <w:rFonts w:cs="AdobeHeitiStd-Regular"/>
                <w:kern w:val="0"/>
                <w:szCs w:val="21"/>
              </w:rPr>
              <w:t>Fc</w:t>
            </w:r>
            <w:r>
              <w:rPr>
                <w:rFonts w:hint="eastAsia" w:hAnsi="宋体" w:cs="AdobeHeitiStd-Regular"/>
                <w:kern w:val="0"/>
                <w:szCs w:val="21"/>
              </w:rPr>
              <w:t>和导则</w:t>
            </w:r>
            <w:r>
              <w:rPr>
                <w:rFonts w:cs="AdobeHeitiStd-Regular"/>
                <w:kern w:val="0"/>
                <w:szCs w:val="21"/>
              </w:rPr>
              <w:t>：</w:t>
            </w:r>
            <w:r>
              <w:rPr>
                <w:rFonts w:hint="eastAsia" w:hAnsi="宋体" w:cs="AdobeHeitiStd-Regular"/>
                <w:kern w:val="0"/>
                <w:szCs w:val="21"/>
              </w:rPr>
              <w:t>振动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2829</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周期检验计数抽样程序及表</w:t>
            </w:r>
            <w:r>
              <w:rPr>
                <w:rFonts w:cs="AdobeHeitiStd-Regular"/>
                <w:kern w:val="0"/>
                <w:szCs w:val="21"/>
              </w:rPr>
              <w:t>（</w:t>
            </w:r>
            <w:r>
              <w:rPr>
                <w:rFonts w:hint="eastAsia" w:hAnsi="宋体" w:cs="AdobeHeitiStd-Regular"/>
                <w:kern w:val="0"/>
                <w:szCs w:val="21"/>
              </w:rPr>
              <w:t>适用于对过程稳定性的检验</w:t>
            </w:r>
            <w:r>
              <w:rPr>
                <w:rFonts w:cs="AdobeHeitiStd-Regular"/>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i/>
                <w:szCs w:val="21"/>
              </w:rPr>
            </w:pPr>
            <w:r>
              <w:rPr>
                <w:rFonts w:cs="AdobeHeitiStd-Regular"/>
                <w:kern w:val="0"/>
                <w:szCs w:val="21"/>
              </w:rPr>
              <w:t>GB 4208</w:t>
            </w:r>
          </w:p>
        </w:tc>
        <w:tc>
          <w:tcPr>
            <w:tcW w:w="6158" w:type="dxa"/>
            <w:tcMar>
              <w:left w:w="0" w:type="dxa"/>
              <w:right w:w="0" w:type="dxa"/>
            </w:tcMar>
          </w:tcPr>
          <w:p>
            <w:pPr>
              <w:pStyle w:val="20"/>
              <w:spacing w:before="67" w:after="67"/>
              <w:ind w:left="42" w:leftChars="20" w:right="42" w:rightChars="20" w:firstLine="180" w:firstLineChars="100"/>
              <w:jc w:val="both"/>
              <w:rPr>
                <w:i/>
                <w:szCs w:val="21"/>
              </w:rPr>
            </w:pPr>
            <w:r>
              <w:rPr>
                <w:rFonts w:hint="eastAsia" w:hAnsi="宋体" w:cs="AdobeHeitiStd-Regular"/>
                <w:kern w:val="0"/>
                <w:szCs w:val="21"/>
              </w:rPr>
              <w:t>外壳防护等级</w:t>
            </w:r>
            <w:r>
              <w:rPr>
                <w:rFonts w:cs="AdobeHeitiStd-Regular"/>
                <w:kern w:val="0"/>
                <w:szCs w:val="21"/>
              </w:rPr>
              <w:t>（IP</w:t>
            </w:r>
            <w:r>
              <w:rPr>
                <w:rFonts w:hint="eastAsia" w:hAnsi="宋体" w:cs="AdobeHeitiStd-Regular"/>
                <w:kern w:val="0"/>
                <w:szCs w:val="21"/>
              </w:rPr>
              <w:t>代码</w:t>
            </w:r>
            <w:r>
              <w:rPr>
                <w:rFonts w:cs="AdobeHeitiStd-Regular"/>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12325</w:t>
            </w:r>
          </w:p>
        </w:tc>
        <w:tc>
          <w:tcPr>
            <w:tcW w:w="6158" w:type="dxa"/>
            <w:tcMar>
              <w:left w:w="0" w:type="dxa"/>
              <w:right w:w="0" w:type="dxa"/>
            </w:tcMar>
          </w:tcPr>
          <w:p>
            <w:pPr>
              <w:pStyle w:val="20"/>
              <w:spacing w:before="67" w:after="67"/>
              <w:ind w:left="42" w:leftChars="20" w:right="42" w:rightChars="20" w:firstLine="180" w:firstLineChars="100"/>
              <w:jc w:val="both"/>
              <w:rPr>
                <w:rFonts w:cs="AdobeHeitiStd-Regular"/>
                <w:kern w:val="0"/>
                <w:szCs w:val="21"/>
              </w:rPr>
            </w:pPr>
            <w:r>
              <w:rPr>
                <w:rFonts w:hint="eastAsia" w:hAnsi="宋体" w:cs="AdobeHeitiStd-Regular"/>
                <w:kern w:val="0"/>
                <w:szCs w:val="21"/>
              </w:rPr>
              <w:t xml:space="preserve">电能质量 </w:t>
            </w:r>
            <w:r>
              <w:rPr>
                <w:rFonts w:hint="eastAsia" w:cs="AdobeHeitiStd-Regular"/>
                <w:kern w:val="0"/>
                <w:szCs w:val="21"/>
              </w:rPr>
              <w:t xml:space="preserve"> </w:t>
            </w:r>
            <w:r>
              <w:rPr>
                <w:rFonts w:hint="eastAsia" w:hAnsi="宋体" w:cs="AdobeHeitiStd-Regular"/>
                <w:kern w:val="0"/>
                <w:szCs w:val="21"/>
              </w:rPr>
              <w:t>供电电压偏</w:t>
            </w:r>
            <w:r>
              <w:rPr>
                <w:rFonts w:hint="eastAsia" w:hAnsi="宋体" w:cs="宋体"/>
                <w:kern w:val="0"/>
                <w:szCs w:val="21"/>
              </w:rPr>
              <w:t>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w:t>
            </w:r>
            <w:r>
              <w:rPr>
                <w:rFonts w:hint="eastAsia" w:cs="AdobeHeitiStd-Regular"/>
                <w:kern w:val="0"/>
                <w:szCs w:val="21"/>
              </w:rPr>
              <w:t>/T</w:t>
            </w:r>
            <w:r>
              <w:rPr>
                <w:rFonts w:cs="AdobeHeitiStd-Regular"/>
                <w:kern w:val="0"/>
                <w:szCs w:val="21"/>
              </w:rPr>
              <w:t xml:space="preserve"> 12326</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电能质量</w:t>
            </w:r>
            <w:r>
              <w:rPr>
                <w:rFonts w:hint="eastAsia" w:cs="AdobeHeitiStd-Regular"/>
                <w:kern w:val="0"/>
                <w:szCs w:val="21"/>
              </w:rPr>
              <w:t xml:space="preserve">  </w:t>
            </w:r>
            <w:r>
              <w:rPr>
                <w:rFonts w:hint="eastAsia" w:hAnsi="宋体" w:cs="AdobeHeitiStd-Regular"/>
                <w:kern w:val="0"/>
                <w:szCs w:val="21"/>
              </w:rPr>
              <w:t>电压波动和闪变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14549</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电能质量</w:t>
            </w:r>
            <w:r>
              <w:rPr>
                <w:rFonts w:hint="eastAsia" w:cs="AdobeHeitiStd-Regular"/>
                <w:kern w:val="0"/>
                <w:szCs w:val="21"/>
              </w:rPr>
              <w:t xml:space="preserve">  </w:t>
            </w:r>
            <w:r>
              <w:rPr>
                <w:rFonts w:hint="eastAsia" w:hAnsi="宋体" w:cs="AdobeHeitiStd-Regular"/>
                <w:kern w:val="0"/>
                <w:szCs w:val="21"/>
              </w:rPr>
              <w:t>公用电网谐波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15543</w:t>
            </w:r>
          </w:p>
        </w:tc>
        <w:tc>
          <w:tcPr>
            <w:tcW w:w="6158" w:type="dxa"/>
            <w:tcMar>
              <w:left w:w="0" w:type="dxa"/>
              <w:right w:w="0" w:type="dxa"/>
            </w:tcMar>
          </w:tcPr>
          <w:p>
            <w:pPr>
              <w:pStyle w:val="20"/>
              <w:spacing w:before="67" w:after="67"/>
              <w:ind w:left="42" w:leftChars="20" w:right="42" w:rightChars="20" w:firstLine="180" w:firstLineChars="100"/>
              <w:jc w:val="both"/>
              <w:rPr>
                <w:rFonts w:cs="AdobeHeitiStd-Regular"/>
                <w:kern w:val="0"/>
                <w:szCs w:val="21"/>
              </w:rPr>
            </w:pPr>
            <w:r>
              <w:rPr>
                <w:rFonts w:hint="eastAsia" w:hAnsi="宋体" w:cs="AdobeHeitiStd-Regular"/>
                <w:kern w:val="0"/>
                <w:szCs w:val="21"/>
              </w:rPr>
              <w:t>电能质量</w:t>
            </w:r>
            <w:r>
              <w:rPr>
                <w:rFonts w:hint="eastAsia" w:cs="AdobeHeitiStd-Regular"/>
                <w:kern w:val="0"/>
                <w:szCs w:val="21"/>
              </w:rPr>
              <w:t xml:space="preserve">  </w:t>
            </w:r>
            <w:r>
              <w:rPr>
                <w:rFonts w:hint="eastAsia" w:hAnsi="宋体" w:cs="AdobeHeitiStd-Regular"/>
                <w:kern w:val="0"/>
                <w:szCs w:val="21"/>
              </w:rPr>
              <w:t>三相电压不平衡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15945</w:t>
            </w:r>
          </w:p>
        </w:tc>
        <w:tc>
          <w:tcPr>
            <w:tcW w:w="6158" w:type="dxa"/>
            <w:tcMar>
              <w:left w:w="0" w:type="dxa"/>
              <w:right w:w="0" w:type="dxa"/>
            </w:tcMar>
          </w:tcPr>
          <w:p>
            <w:pPr>
              <w:pStyle w:val="20"/>
              <w:spacing w:before="67" w:after="67"/>
              <w:ind w:left="42" w:leftChars="20" w:right="42" w:rightChars="20" w:firstLine="180" w:firstLineChars="100"/>
              <w:jc w:val="both"/>
              <w:rPr>
                <w:rFonts w:cs="AdobeHeitiStd-Regular"/>
                <w:kern w:val="0"/>
                <w:szCs w:val="21"/>
              </w:rPr>
            </w:pPr>
            <w:r>
              <w:rPr>
                <w:rFonts w:hint="eastAsia" w:hAnsi="宋体" w:cs="AdobeHeitiStd-Regular"/>
                <w:kern w:val="0"/>
                <w:szCs w:val="21"/>
              </w:rPr>
              <w:t>电能质量</w:t>
            </w:r>
            <w:r>
              <w:rPr>
                <w:rFonts w:hint="eastAsia" w:cs="AdobeHeitiStd-Regular"/>
                <w:kern w:val="0"/>
                <w:szCs w:val="21"/>
              </w:rPr>
              <w:t xml:space="preserve">  </w:t>
            </w:r>
            <w:r>
              <w:rPr>
                <w:rFonts w:hint="eastAsia" w:hAnsi="宋体" w:cs="AdobeHeitiStd-Regular"/>
                <w:kern w:val="0"/>
                <w:szCs w:val="21"/>
              </w:rPr>
              <w:t>电力系统频率偏</w:t>
            </w:r>
            <w:r>
              <w:rPr>
                <w:rFonts w:hint="eastAsia" w:hAnsi="宋体" w:cs="宋体"/>
                <w:kern w:val="0"/>
                <w:szCs w:val="21"/>
              </w:rPr>
              <w:t>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rFonts w:cs="AdobeHeitiStd-Regular"/>
                <w:kern w:val="0"/>
                <w:szCs w:val="21"/>
              </w:rPr>
            </w:pPr>
            <w:r>
              <w:rPr>
                <w:rFonts w:hint="eastAsia" w:cs="AdobeHeitiStd-Regular"/>
                <w:kern w:val="0"/>
                <w:szCs w:val="21"/>
              </w:rPr>
              <w:t>GB/T 18481</w:t>
            </w:r>
          </w:p>
        </w:tc>
        <w:tc>
          <w:tcPr>
            <w:tcW w:w="6158" w:type="dxa"/>
            <w:tcMar>
              <w:left w:w="0" w:type="dxa"/>
              <w:right w:w="0" w:type="dxa"/>
            </w:tcMar>
          </w:tcPr>
          <w:p>
            <w:pPr>
              <w:pStyle w:val="20"/>
              <w:spacing w:before="67" w:after="67"/>
              <w:ind w:left="42" w:leftChars="20" w:right="42" w:rightChars="20" w:firstLine="180" w:firstLineChars="100"/>
              <w:jc w:val="both"/>
              <w:rPr>
                <w:rFonts w:cs="AdobeHeitiStd-Regular"/>
                <w:kern w:val="0"/>
                <w:szCs w:val="21"/>
              </w:rPr>
            </w:pPr>
            <w:r>
              <w:rPr>
                <w:rFonts w:hint="eastAsia" w:hAnsi="宋体" w:cs="AdobeHeitiStd-Regular"/>
                <w:kern w:val="0"/>
                <w:szCs w:val="21"/>
              </w:rPr>
              <w:t>电能质量</w:t>
            </w:r>
            <w:r>
              <w:rPr>
                <w:rFonts w:hint="eastAsia" w:cs="AdobeHeitiStd-Regular"/>
                <w:kern w:val="0"/>
                <w:szCs w:val="21"/>
              </w:rPr>
              <w:t xml:space="preserve">  </w:t>
            </w:r>
            <w:r>
              <w:rPr>
                <w:rFonts w:hint="eastAsia" w:hAnsi="宋体" w:cs="AdobeHeitiStd-Regular"/>
                <w:kern w:val="0"/>
                <w:szCs w:val="21"/>
              </w:rPr>
              <w:t>暂时过电压和瞬态过电压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rFonts w:cs="AdobeHeitiStd-Regular"/>
                <w:kern w:val="0"/>
                <w:szCs w:val="21"/>
              </w:rPr>
            </w:pPr>
            <w:r>
              <w:rPr>
                <w:rFonts w:hint="eastAsia" w:cs="AdobeHeitiStd-Regular"/>
                <w:kern w:val="0"/>
                <w:szCs w:val="21"/>
              </w:rPr>
              <w:t>GB/T 19862</w:t>
            </w:r>
          </w:p>
        </w:tc>
        <w:tc>
          <w:tcPr>
            <w:tcW w:w="6158" w:type="dxa"/>
            <w:tcMar>
              <w:left w:w="0" w:type="dxa"/>
              <w:right w:w="0" w:type="dxa"/>
            </w:tcMar>
          </w:tcPr>
          <w:p>
            <w:pPr>
              <w:pStyle w:val="20"/>
              <w:spacing w:before="67" w:after="67"/>
              <w:ind w:left="42" w:leftChars="20" w:right="42" w:rightChars="20" w:firstLine="180" w:firstLineChars="100"/>
              <w:jc w:val="both"/>
              <w:rPr>
                <w:rFonts w:cs="AdobeHeitiStd-Regular"/>
                <w:kern w:val="0"/>
                <w:szCs w:val="21"/>
              </w:rPr>
            </w:pPr>
            <w:r>
              <w:rPr>
                <w:rFonts w:hint="eastAsia" w:hAnsi="宋体" w:cs="AdobeHeitiStd-Regular"/>
                <w:kern w:val="0"/>
                <w:szCs w:val="21"/>
              </w:rPr>
              <w:t>电能质量监测设备通用要求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 17625.1</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 xml:space="preserve">电磁兼容  限值 </w:t>
            </w:r>
            <w:r>
              <w:rPr>
                <w:rFonts w:hint="eastAsia" w:cs="AdobeHeitiStd-Regular"/>
                <w:kern w:val="0"/>
                <w:szCs w:val="21"/>
              </w:rPr>
              <w:t xml:space="preserve"> </w:t>
            </w:r>
            <w:r>
              <w:rPr>
                <w:rFonts w:hint="eastAsia" w:hAnsi="宋体" w:cs="AdobeHeitiStd-Regular"/>
                <w:kern w:val="0"/>
                <w:szCs w:val="21"/>
              </w:rPr>
              <w:t>谐波电流发射限值（设备每相输入电流≤16A）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17626.2</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电磁兼容</w:t>
            </w:r>
            <w:r>
              <w:rPr>
                <w:rFonts w:hint="eastAsia" w:cs="AdobeHeitiStd-Regular"/>
                <w:kern w:val="0"/>
                <w:szCs w:val="21"/>
              </w:rPr>
              <w:t xml:space="preserve">  </w:t>
            </w:r>
            <w:r>
              <w:rPr>
                <w:rFonts w:hint="eastAsia" w:hAnsi="宋体" w:cs="AdobeHeitiStd-Regular"/>
                <w:kern w:val="0"/>
                <w:szCs w:val="21"/>
              </w:rPr>
              <w:t>试验和测量技术</w:t>
            </w:r>
            <w:r>
              <w:rPr>
                <w:rFonts w:hint="eastAsia" w:cs="AdobeHeitiStd-Regular"/>
                <w:kern w:val="0"/>
                <w:szCs w:val="21"/>
              </w:rPr>
              <w:t xml:space="preserve"> </w:t>
            </w:r>
            <w:r>
              <w:rPr>
                <w:rFonts w:hint="eastAsia" w:hAnsi="宋体" w:cs="AdobeHeitiStd-Regular"/>
                <w:kern w:val="0"/>
                <w:szCs w:val="21"/>
              </w:rPr>
              <w:t>静电放电抗扰度试验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17626.3</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电磁兼容</w:t>
            </w:r>
            <w:r>
              <w:rPr>
                <w:rFonts w:hint="eastAsia" w:cs="AdobeHeitiStd-Regular"/>
                <w:kern w:val="0"/>
                <w:szCs w:val="21"/>
              </w:rPr>
              <w:t xml:space="preserve">  </w:t>
            </w:r>
            <w:r>
              <w:rPr>
                <w:rFonts w:hint="eastAsia" w:hAnsi="宋体" w:cs="AdobeHeitiStd-Regular"/>
                <w:kern w:val="0"/>
                <w:szCs w:val="21"/>
              </w:rPr>
              <w:t>试验和测量技术</w:t>
            </w:r>
            <w:r>
              <w:rPr>
                <w:rFonts w:hint="eastAsia" w:cs="AdobeHeitiStd-Regular"/>
                <w:kern w:val="0"/>
                <w:szCs w:val="21"/>
              </w:rPr>
              <w:t xml:space="preserve"> </w:t>
            </w:r>
            <w:r>
              <w:rPr>
                <w:rFonts w:hint="eastAsia" w:hAnsi="宋体" w:cs="AdobeHeitiStd-Regular"/>
                <w:kern w:val="0"/>
                <w:szCs w:val="21"/>
              </w:rPr>
              <w:t>射频电磁场辐射抗扰度试验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17626.4</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电磁兼容</w:t>
            </w:r>
            <w:r>
              <w:rPr>
                <w:rFonts w:hint="eastAsia" w:cs="AdobeHeitiStd-Regular"/>
                <w:kern w:val="0"/>
                <w:szCs w:val="21"/>
              </w:rPr>
              <w:t xml:space="preserve">  </w:t>
            </w:r>
            <w:r>
              <w:rPr>
                <w:rFonts w:hint="eastAsia" w:hAnsi="宋体" w:cs="AdobeHeitiStd-Regular"/>
                <w:kern w:val="0"/>
                <w:szCs w:val="21"/>
              </w:rPr>
              <w:t>试验和测量技术</w:t>
            </w:r>
            <w:r>
              <w:rPr>
                <w:rFonts w:hint="eastAsia" w:cs="AdobeHeitiStd-Regular"/>
                <w:kern w:val="0"/>
                <w:szCs w:val="21"/>
              </w:rPr>
              <w:t xml:space="preserve"> </w:t>
            </w:r>
            <w:r>
              <w:rPr>
                <w:rFonts w:hint="eastAsia" w:hAnsi="宋体" w:cs="AdobeHeitiStd-Regular"/>
                <w:kern w:val="0"/>
                <w:szCs w:val="21"/>
              </w:rPr>
              <w:t>电快速瞬变脉冲群抗扰度试验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17626.5</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电磁兼容  试验和测量技术 浪涌</w:t>
            </w:r>
            <w:r>
              <w:rPr>
                <w:rFonts w:cs="AdobeHeitiStd-Regular"/>
                <w:kern w:val="0"/>
                <w:szCs w:val="21"/>
              </w:rPr>
              <w:t>（</w:t>
            </w:r>
            <w:r>
              <w:rPr>
                <w:rFonts w:hint="eastAsia" w:hAnsi="宋体" w:cs="AdobeHeitiStd-Regular"/>
                <w:kern w:val="0"/>
                <w:szCs w:val="21"/>
              </w:rPr>
              <w:t>冲击</w:t>
            </w:r>
            <w:r>
              <w:rPr>
                <w:rFonts w:cs="AdobeHeitiStd-Regular"/>
                <w:kern w:val="0"/>
                <w:szCs w:val="21"/>
              </w:rPr>
              <w:t>）</w:t>
            </w:r>
            <w:r>
              <w:rPr>
                <w:rFonts w:hint="eastAsia" w:hAnsi="宋体" w:cs="AdobeHeitiStd-Regular"/>
                <w:kern w:val="0"/>
                <w:szCs w:val="21"/>
              </w:rPr>
              <w:t>抗扰度试验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68" w:type="dxa"/>
            <w:tcMar>
              <w:left w:w="0" w:type="dxa"/>
              <w:right w:w="0" w:type="dxa"/>
            </w:tcMar>
          </w:tcPr>
          <w:p>
            <w:pPr>
              <w:pStyle w:val="20"/>
              <w:spacing w:before="67" w:after="67"/>
              <w:ind w:left="42" w:leftChars="20" w:right="42" w:rightChars="20" w:firstLine="180" w:firstLineChars="100"/>
              <w:jc w:val="both"/>
              <w:rPr>
                <w:szCs w:val="21"/>
              </w:rPr>
            </w:pPr>
            <w:r>
              <w:rPr>
                <w:rFonts w:cs="AdobeHeitiStd-Regular"/>
                <w:kern w:val="0"/>
                <w:szCs w:val="21"/>
              </w:rPr>
              <w:t>GB/T 17626.11</w:t>
            </w:r>
          </w:p>
        </w:tc>
        <w:tc>
          <w:tcPr>
            <w:tcW w:w="6158" w:type="dxa"/>
            <w:tcMar>
              <w:left w:w="0" w:type="dxa"/>
              <w:right w:w="0" w:type="dxa"/>
            </w:tcMar>
          </w:tcPr>
          <w:p>
            <w:pPr>
              <w:pStyle w:val="20"/>
              <w:spacing w:before="67" w:after="67"/>
              <w:ind w:left="42" w:leftChars="20" w:right="42" w:rightChars="20" w:firstLine="180" w:firstLineChars="100"/>
              <w:jc w:val="both"/>
              <w:rPr>
                <w:szCs w:val="21"/>
              </w:rPr>
            </w:pPr>
            <w:r>
              <w:rPr>
                <w:rFonts w:hint="eastAsia" w:hAnsi="宋体" w:cs="AdobeHeitiStd-Regular"/>
                <w:kern w:val="0"/>
                <w:szCs w:val="21"/>
              </w:rPr>
              <w:t>电磁兼容</w:t>
            </w:r>
            <w:r>
              <w:rPr>
                <w:rFonts w:hint="eastAsia" w:cs="AdobeHeitiStd-Regular"/>
                <w:kern w:val="0"/>
                <w:szCs w:val="21"/>
              </w:rPr>
              <w:t xml:space="preserve">  </w:t>
            </w:r>
            <w:r>
              <w:rPr>
                <w:rFonts w:hint="eastAsia" w:hAnsi="宋体" w:cs="AdobeHeitiStd-Regular"/>
                <w:kern w:val="0"/>
                <w:szCs w:val="21"/>
              </w:rPr>
              <w:t>试验和测量技术</w:t>
            </w:r>
            <w:r>
              <w:rPr>
                <w:rFonts w:hint="eastAsia" w:cs="AdobeHeitiStd-Regular"/>
                <w:kern w:val="0"/>
                <w:szCs w:val="21"/>
              </w:rPr>
              <w:t xml:space="preserve"> </w:t>
            </w:r>
            <w:r>
              <w:rPr>
                <w:rFonts w:hint="eastAsia" w:hAnsi="宋体" w:cs="AdobeHeitiStd-Regular"/>
                <w:kern w:val="0"/>
                <w:szCs w:val="21"/>
              </w:rPr>
              <w:t>电压暂降、短时中断和电压变化的抗扰度试验</w:t>
            </w:r>
          </w:p>
        </w:tc>
      </w:tr>
    </w:tbl>
    <w:p>
      <w:pPr>
        <w:pStyle w:val="13"/>
        <w:rPr>
          <w:kern w:val="0"/>
        </w:rPr>
      </w:pPr>
      <w:bookmarkStart w:id="45" w:name="_Toc252535466"/>
      <w:bookmarkStart w:id="46" w:name="_Toc250621610"/>
      <w:bookmarkStart w:id="47" w:name="_Toc250741111"/>
      <w:bookmarkStart w:id="48" w:name="_Toc250740463"/>
      <w:bookmarkStart w:id="49" w:name="_Toc250621496"/>
      <w:bookmarkStart w:id="50" w:name="_Toc250485453"/>
      <w:bookmarkStart w:id="51" w:name="_Toc250484022"/>
    </w:p>
    <w:p>
      <w:pPr>
        <w:pStyle w:val="13"/>
        <w:rPr>
          <w:rFonts w:cs="AdobeHeitiStd-Regular"/>
          <w:kern w:val="0"/>
        </w:rPr>
      </w:pPr>
      <w:bookmarkStart w:id="52" w:name="_Toc256367585"/>
      <w:r>
        <w:rPr>
          <w:rFonts w:hint="eastAsia"/>
          <w:kern w:val="0"/>
        </w:rPr>
        <w:t>2.2　使用环境条件</w:t>
      </w:r>
      <w:bookmarkEnd w:id="45"/>
      <w:bookmarkEnd w:id="52"/>
    </w:p>
    <w:p>
      <w:pPr>
        <w:autoSpaceDE w:val="0"/>
        <w:autoSpaceDN w:val="0"/>
        <w:adjustRightInd w:val="0"/>
        <w:spacing w:line="312" w:lineRule="exact"/>
        <w:jc w:val="left"/>
        <w:rPr>
          <w:rFonts w:cs="AdobeHeitiStd-Regular"/>
          <w:kern w:val="0"/>
          <w:szCs w:val="21"/>
        </w:rPr>
      </w:pPr>
      <w:r>
        <w:rPr>
          <w:rStyle w:val="15"/>
          <w:rFonts w:hint="eastAsia"/>
        </w:rPr>
        <w:t>2.2.1</w:t>
      </w:r>
      <w:r>
        <w:rPr>
          <w:rFonts w:hint="eastAsia" w:cs="AdobeHeitiStd-Regular"/>
          <w:kern w:val="0"/>
          <w:szCs w:val="21"/>
        </w:rPr>
        <w:t xml:space="preserve">  </w:t>
      </w:r>
      <w:r>
        <w:rPr>
          <w:rFonts w:hint="eastAsia" w:hAnsi="宋体"/>
          <w:color w:val="000000"/>
        </w:rPr>
        <w:t>设备工作温度：</w:t>
      </w:r>
      <w:r>
        <w:rPr>
          <w:rFonts w:hint="eastAsia"/>
          <w:color w:val="000000"/>
        </w:rPr>
        <w:t>－10</w:t>
      </w:r>
      <w:r>
        <w:rPr>
          <w:rFonts w:hint="eastAsia" w:hAnsi="宋体"/>
          <w:color w:val="000000"/>
        </w:rPr>
        <w:t>℃</w:t>
      </w:r>
      <w:r>
        <w:rPr>
          <w:rFonts w:hint="eastAsia"/>
          <w:color w:val="000000"/>
        </w:rPr>
        <w:t>～＋40</w:t>
      </w:r>
      <w:r>
        <w:rPr>
          <w:rFonts w:hint="eastAsia" w:hAnsi="宋体"/>
          <w:color w:val="000000"/>
        </w:rPr>
        <w:t>℃。</w:t>
      </w:r>
    </w:p>
    <w:p>
      <w:pPr>
        <w:autoSpaceDE w:val="0"/>
        <w:autoSpaceDN w:val="0"/>
        <w:adjustRightInd w:val="0"/>
        <w:spacing w:line="312" w:lineRule="exact"/>
        <w:jc w:val="left"/>
        <w:rPr>
          <w:rFonts w:cs="AdobeHeitiStd-Regular"/>
          <w:kern w:val="0"/>
          <w:szCs w:val="21"/>
        </w:rPr>
      </w:pPr>
      <w:r>
        <w:rPr>
          <w:rStyle w:val="15"/>
          <w:rFonts w:hint="eastAsia"/>
        </w:rPr>
        <w:t>2.2.2</w:t>
      </w:r>
      <w:r>
        <w:rPr>
          <w:rFonts w:hint="eastAsia" w:cs="AdobeHeitiStd-Regular"/>
          <w:kern w:val="0"/>
          <w:szCs w:val="21"/>
        </w:rPr>
        <w:t xml:space="preserve">  </w:t>
      </w:r>
      <w:r>
        <w:rPr>
          <w:rFonts w:hint="eastAsia" w:hAnsi="宋体" w:cs="AdobeHeitiStd-Regular"/>
          <w:kern w:val="0"/>
          <w:szCs w:val="21"/>
        </w:rPr>
        <w:t>湿度：</w:t>
      </w:r>
    </w:p>
    <w:p>
      <w:pPr>
        <w:autoSpaceDE w:val="0"/>
        <w:autoSpaceDN w:val="0"/>
        <w:adjustRightInd w:val="0"/>
        <w:spacing w:line="312" w:lineRule="exact"/>
        <w:ind w:firstLine="420" w:firstLineChars="200"/>
        <w:jc w:val="left"/>
        <w:rPr>
          <w:rFonts w:cs="AdobeHeitiStd-Regular"/>
          <w:kern w:val="0"/>
          <w:szCs w:val="21"/>
        </w:rPr>
      </w:pPr>
      <w:r>
        <w:rPr>
          <w:rFonts w:hint="eastAsia" w:hAnsi="宋体" w:cs="AdobeHeitiStd-Regular"/>
          <w:kern w:val="0"/>
          <w:szCs w:val="21"/>
        </w:rPr>
        <w:t>在</w:t>
      </w:r>
      <w:r>
        <w:rPr>
          <w:rFonts w:cs="AdobeHeitiStd-Regular"/>
          <w:kern w:val="0"/>
          <w:szCs w:val="21"/>
        </w:rPr>
        <w:t>24h</w:t>
      </w:r>
      <w:r>
        <w:rPr>
          <w:rFonts w:hint="eastAsia" w:hAnsi="宋体" w:cs="AdobeHeitiStd-Regular"/>
          <w:kern w:val="0"/>
          <w:szCs w:val="21"/>
        </w:rPr>
        <w:t>内测得的相对湿度的平均值：≤</w:t>
      </w:r>
      <w:r>
        <w:rPr>
          <w:rFonts w:cs="AdobeHeitiStd-Regular"/>
          <w:kern w:val="0"/>
          <w:szCs w:val="21"/>
        </w:rPr>
        <w:t>95％</w:t>
      </w:r>
      <w:r>
        <w:rPr>
          <w:rFonts w:hint="eastAsia" w:hAnsi="宋体" w:cs="AdobeHeitiStd-Regular"/>
          <w:kern w:val="0"/>
          <w:szCs w:val="21"/>
        </w:rPr>
        <w:t>；</w:t>
      </w:r>
    </w:p>
    <w:p>
      <w:pPr>
        <w:autoSpaceDE w:val="0"/>
        <w:autoSpaceDN w:val="0"/>
        <w:adjustRightInd w:val="0"/>
        <w:spacing w:line="312" w:lineRule="exact"/>
        <w:ind w:firstLine="420" w:firstLineChars="200"/>
        <w:jc w:val="left"/>
        <w:rPr>
          <w:rFonts w:cs="AdobeHeitiStd-Regular"/>
          <w:kern w:val="0"/>
          <w:szCs w:val="21"/>
        </w:rPr>
      </w:pPr>
      <w:r>
        <w:rPr>
          <w:rFonts w:hint="eastAsia" w:hAnsi="宋体" w:cs="AdobeHeitiStd-Regular"/>
          <w:kern w:val="0"/>
          <w:szCs w:val="21"/>
        </w:rPr>
        <w:t>在</w:t>
      </w:r>
      <w:r>
        <w:rPr>
          <w:rFonts w:cs="AdobeHeitiStd-Regular"/>
          <w:kern w:val="0"/>
          <w:szCs w:val="21"/>
        </w:rPr>
        <w:t>24h</w:t>
      </w:r>
      <w:r>
        <w:rPr>
          <w:rFonts w:hint="eastAsia" w:hAnsi="宋体" w:cs="AdobeHeitiStd-Regular"/>
          <w:kern w:val="0"/>
          <w:szCs w:val="21"/>
        </w:rPr>
        <w:t>内测得的水蒸气压力的平均值：≤</w:t>
      </w:r>
      <w:r>
        <w:rPr>
          <w:rFonts w:cs="AdobeHeitiStd-Regular"/>
          <w:kern w:val="0"/>
          <w:szCs w:val="21"/>
        </w:rPr>
        <w:t>2.2kPa</w:t>
      </w:r>
      <w:r>
        <w:rPr>
          <w:rFonts w:hint="eastAsia" w:hAnsi="宋体" w:cs="AdobeHeitiStd-Regular"/>
          <w:kern w:val="0"/>
          <w:szCs w:val="21"/>
        </w:rPr>
        <w:t>；</w:t>
      </w:r>
    </w:p>
    <w:p>
      <w:pPr>
        <w:autoSpaceDE w:val="0"/>
        <w:autoSpaceDN w:val="0"/>
        <w:adjustRightInd w:val="0"/>
        <w:spacing w:line="312" w:lineRule="exact"/>
        <w:ind w:firstLine="420" w:firstLineChars="200"/>
        <w:jc w:val="left"/>
        <w:rPr>
          <w:rFonts w:cs="AdobeHeitiStd-Regular"/>
          <w:kern w:val="0"/>
          <w:szCs w:val="21"/>
        </w:rPr>
      </w:pPr>
      <w:r>
        <w:rPr>
          <w:rFonts w:hint="eastAsia" w:hAnsi="宋体" w:cs="AdobeHeitiStd-Regular"/>
          <w:kern w:val="0"/>
          <w:szCs w:val="21"/>
        </w:rPr>
        <w:t>月相对湿度平均值：≤</w:t>
      </w:r>
      <w:r>
        <w:rPr>
          <w:rFonts w:cs="AdobeHeitiStd-Regular"/>
          <w:kern w:val="0"/>
          <w:szCs w:val="21"/>
        </w:rPr>
        <w:t>90％</w:t>
      </w:r>
      <w:r>
        <w:rPr>
          <w:rFonts w:hint="eastAsia" w:hAnsi="宋体" w:cs="AdobeHeitiStd-Regular"/>
          <w:kern w:val="0"/>
          <w:szCs w:val="21"/>
        </w:rPr>
        <w:t>；</w:t>
      </w:r>
    </w:p>
    <w:p>
      <w:pPr>
        <w:autoSpaceDE w:val="0"/>
        <w:autoSpaceDN w:val="0"/>
        <w:adjustRightInd w:val="0"/>
        <w:spacing w:line="312" w:lineRule="exact"/>
        <w:ind w:firstLine="420" w:firstLineChars="200"/>
        <w:jc w:val="left"/>
        <w:rPr>
          <w:rFonts w:cs="AdobeHeitiStd-Regular"/>
          <w:kern w:val="0"/>
          <w:szCs w:val="21"/>
        </w:rPr>
      </w:pPr>
      <w:r>
        <w:rPr>
          <w:rFonts w:hint="eastAsia" w:hAnsi="宋体" w:cs="AdobeHeitiStd-Regular"/>
          <w:kern w:val="0"/>
          <w:szCs w:val="21"/>
        </w:rPr>
        <w:t>月水蒸气压力平均值：≤</w:t>
      </w:r>
      <w:r>
        <w:rPr>
          <w:rFonts w:cs="AdobeHeitiStd-Regular"/>
          <w:kern w:val="0"/>
          <w:szCs w:val="21"/>
        </w:rPr>
        <w:t>1.8kPa</w:t>
      </w:r>
      <w:r>
        <w:rPr>
          <w:rFonts w:hint="eastAsia" w:hAnsi="宋体" w:cs="AdobeHeitiStd-Regular"/>
          <w:kern w:val="0"/>
          <w:szCs w:val="21"/>
        </w:rPr>
        <w:t>。</w:t>
      </w:r>
    </w:p>
    <w:p>
      <w:pPr>
        <w:pStyle w:val="13"/>
        <w:rPr>
          <w:snapToGrid w:val="0"/>
          <w:kern w:val="0"/>
        </w:rPr>
      </w:pPr>
      <w:bookmarkStart w:id="53" w:name="_Toc256367586"/>
      <w:bookmarkStart w:id="54" w:name="_Toc252535467"/>
      <w:r>
        <w:rPr>
          <w:rFonts w:hint="eastAsia"/>
          <w:snapToGrid w:val="0"/>
          <w:kern w:val="0"/>
        </w:rPr>
        <w:t>2.3　装置额定参数</w:t>
      </w:r>
      <w:bookmarkEnd w:id="53"/>
      <w:bookmarkEnd w:id="54"/>
    </w:p>
    <w:p>
      <w:pPr>
        <w:spacing w:line="312" w:lineRule="exact"/>
        <w:rPr>
          <w:szCs w:val="21"/>
        </w:rPr>
      </w:pPr>
      <w:r>
        <w:rPr>
          <w:rStyle w:val="15"/>
          <w:rFonts w:hint="eastAsia"/>
        </w:rPr>
        <w:t>2.3.1</w:t>
      </w:r>
      <w:r>
        <w:rPr>
          <w:rFonts w:hint="eastAsia"/>
          <w:szCs w:val="21"/>
        </w:rPr>
        <w:t xml:space="preserve">  </w:t>
      </w:r>
      <w:r>
        <w:rPr>
          <w:rFonts w:hint="eastAsia" w:hAnsi="宋体" w:cs="AdobeHeitiStd-Regular"/>
          <w:kern w:val="0"/>
          <w:szCs w:val="21"/>
        </w:rPr>
        <w:t>额定工作交流电源：</w:t>
      </w:r>
      <w:r>
        <w:rPr>
          <w:rFonts w:hint="eastAsia" w:cs="AdobeHeitiStd-Regular"/>
          <w:kern w:val="0"/>
          <w:szCs w:val="21"/>
        </w:rPr>
        <w:t>220</w:t>
      </w:r>
      <w:r>
        <w:rPr>
          <w:rFonts w:cs="AdobeHeitiStd-Regular"/>
          <w:kern w:val="0"/>
          <w:szCs w:val="21"/>
        </w:rPr>
        <w:t>V</w:t>
      </w:r>
      <w:r>
        <w:rPr>
          <w:rFonts w:hint="eastAsia" w:cs="AdobeHeitiStd-Regular"/>
          <w:kern w:val="0"/>
          <w:szCs w:val="21"/>
        </w:rPr>
        <w:t>/</w:t>
      </w:r>
      <w:r>
        <w:rPr>
          <w:rFonts w:cs="AdobeHeitiStd-Regular"/>
          <w:kern w:val="0"/>
          <w:szCs w:val="21"/>
        </w:rPr>
        <w:t>100V</w:t>
      </w:r>
      <w:r>
        <w:rPr>
          <w:rFonts w:hint="eastAsia" w:hAnsi="宋体" w:cs="AdobeHeitiStd-Regular"/>
          <w:kern w:val="0"/>
          <w:szCs w:val="21"/>
        </w:rPr>
        <w:t>，允许偏差±</w:t>
      </w:r>
      <w:r>
        <w:rPr>
          <w:rFonts w:cs="AdobeHeitiStd-Regular"/>
          <w:kern w:val="0"/>
          <w:szCs w:val="21"/>
        </w:rPr>
        <w:t>20％</w:t>
      </w:r>
      <w:r>
        <w:rPr>
          <w:rFonts w:hint="eastAsia" w:hAnsi="宋体" w:cs="AdobeHeitiStd-Regular"/>
          <w:kern w:val="0"/>
          <w:szCs w:val="21"/>
        </w:rPr>
        <w:t>，谐波电压总畸变率不大于</w:t>
      </w:r>
      <w:r>
        <w:rPr>
          <w:rFonts w:cs="AdobeHeitiStd-Regular"/>
          <w:kern w:val="0"/>
          <w:szCs w:val="21"/>
        </w:rPr>
        <w:t>8％</w:t>
      </w:r>
      <w:r>
        <w:rPr>
          <w:rFonts w:hint="eastAsia" w:hAnsi="宋体" w:cs="AdobeHeitiStd-Regular"/>
          <w:kern w:val="0"/>
          <w:szCs w:val="21"/>
        </w:rPr>
        <w:t>。</w:t>
      </w:r>
    </w:p>
    <w:p>
      <w:pPr>
        <w:autoSpaceDE w:val="0"/>
        <w:autoSpaceDN w:val="0"/>
        <w:adjustRightInd w:val="0"/>
        <w:spacing w:line="312" w:lineRule="exact"/>
        <w:jc w:val="left"/>
        <w:rPr>
          <w:rFonts w:cs="AdobeHeitiStd-Regular"/>
          <w:kern w:val="0"/>
          <w:szCs w:val="21"/>
        </w:rPr>
      </w:pPr>
      <w:r>
        <w:rPr>
          <w:rStyle w:val="15"/>
          <w:rFonts w:hint="eastAsia"/>
        </w:rPr>
        <w:t>2.3.2</w:t>
      </w:r>
      <w:r>
        <w:rPr>
          <w:rFonts w:hint="eastAsia" w:cs="AdobeHeitiStd-Regular"/>
          <w:kern w:val="0"/>
          <w:szCs w:val="21"/>
        </w:rPr>
        <w:t xml:space="preserve">  </w:t>
      </w:r>
      <w:r>
        <w:rPr>
          <w:rFonts w:hint="eastAsia" w:hAnsi="宋体" w:cs="AdobeHeitiStd-Regular"/>
          <w:kern w:val="0"/>
          <w:szCs w:val="21"/>
        </w:rPr>
        <w:t>额定工作直流电源：</w:t>
      </w:r>
      <w:r>
        <w:rPr>
          <w:rFonts w:cs="AdobeHeitiStd-Regular"/>
          <w:kern w:val="0"/>
          <w:szCs w:val="21"/>
        </w:rPr>
        <w:t>220V</w:t>
      </w:r>
      <w:r>
        <w:rPr>
          <w:rFonts w:hint="eastAsia" w:cs="AdobeHeitiStd-Regular"/>
          <w:kern w:val="0"/>
          <w:szCs w:val="21"/>
        </w:rPr>
        <w:t>/110</w:t>
      </w:r>
      <w:r>
        <w:rPr>
          <w:rFonts w:cs="AdobeHeitiStd-Regular"/>
          <w:kern w:val="0"/>
          <w:szCs w:val="21"/>
        </w:rPr>
        <w:t>V</w:t>
      </w:r>
      <w:r>
        <w:rPr>
          <w:rFonts w:hint="eastAsia" w:hAnsi="宋体" w:cs="AdobeHeitiStd-Regular"/>
          <w:kern w:val="0"/>
          <w:szCs w:val="21"/>
        </w:rPr>
        <w:t>，允许变化范围±</w:t>
      </w:r>
      <w:r>
        <w:rPr>
          <w:rFonts w:cs="AdobeHeitiStd-Regular"/>
          <w:kern w:val="0"/>
          <w:szCs w:val="21"/>
        </w:rPr>
        <w:t>20％</w:t>
      </w:r>
      <w:r>
        <w:rPr>
          <w:rFonts w:hint="eastAsia" w:hAnsi="宋体" w:cs="AdobeHeitiStd-Regular"/>
          <w:kern w:val="0"/>
          <w:szCs w:val="21"/>
        </w:rPr>
        <w:t>。</w:t>
      </w:r>
    </w:p>
    <w:p>
      <w:pPr>
        <w:spacing w:line="312" w:lineRule="exact"/>
        <w:rPr>
          <w:rFonts w:cs="AdobeHeitiStd-Regular"/>
          <w:kern w:val="0"/>
          <w:szCs w:val="21"/>
        </w:rPr>
      </w:pPr>
      <w:r>
        <w:rPr>
          <w:rStyle w:val="15"/>
          <w:rFonts w:hint="eastAsia"/>
        </w:rPr>
        <w:t>2.3.3</w:t>
      </w:r>
      <w:r>
        <w:rPr>
          <w:rFonts w:hint="eastAsia" w:cs="AdobeHeitiStd-Regular"/>
          <w:kern w:val="0"/>
          <w:szCs w:val="21"/>
        </w:rPr>
        <w:t xml:space="preserve">  </w:t>
      </w:r>
      <w:r>
        <w:rPr>
          <w:rFonts w:hint="eastAsia" w:hAnsi="宋体" w:cs="AdobeHeitiStd-Regular"/>
          <w:kern w:val="0"/>
          <w:szCs w:val="21"/>
        </w:rPr>
        <w:t>额定交流电压：</w:t>
      </w:r>
      <w:r>
        <w:rPr>
          <w:rFonts w:hint="eastAsia" w:cs="AdobeHeitiStd-Regular"/>
          <w:kern w:val="0"/>
          <w:szCs w:val="21"/>
        </w:rPr>
        <w:t>57.7V/100V/220V</w:t>
      </w:r>
      <w:r>
        <w:rPr>
          <w:rFonts w:hint="eastAsia" w:hAnsi="宋体" w:cs="AdobeHeitiStd-Regular"/>
          <w:kern w:val="0"/>
          <w:szCs w:val="21"/>
        </w:rPr>
        <w:t>，过载能力为额定电压的</w:t>
      </w:r>
      <w:r>
        <w:rPr>
          <w:rFonts w:hAnsi="宋体" w:cs="AdobeHeitiStd-Regular"/>
          <w:kern w:val="0"/>
          <w:position w:val="-6"/>
          <w:szCs w:val="21"/>
        </w:rPr>
        <w:object>
          <v:shape id="_x0000_i1025" o:spt="75" type="#_x0000_t75" style="height:15.75pt;width:15.75pt;" o:ole="t" filled="f" o:preferrelative="t" stroked="f" coordsize="21600,21600">
            <v:path/>
            <v:fill on="f" focussize="0,0"/>
            <v:stroke on="f" joinstyle="miter"/>
            <v:imagedata r:id="rId5" o:title=""/>
            <o:lock v:ext="edit" aspectratio="t"/>
            <w10:wrap type="none"/>
            <w10:anchorlock/>
          </v:shape>
          <o:OLEObject Type="Embed" ProgID="Equation.DSMT4" ShapeID="_x0000_i1025" DrawAspect="Content" ObjectID="_1468075725" r:id="rId4">
            <o:LockedField>false</o:LockedField>
          </o:OLEObject>
        </w:object>
      </w:r>
      <w:r>
        <w:rPr>
          <w:rFonts w:hint="eastAsia" w:hAnsi="宋体" w:cs="AdobeHeitiStd-Regular"/>
          <w:kern w:val="0"/>
          <w:szCs w:val="21"/>
        </w:rPr>
        <w:t>倍，波峰系数不小于</w:t>
      </w:r>
      <w:r>
        <w:rPr>
          <w:rFonts w:cs="AdobeHeitiStd-Regular"/>
          <w:kern w:val="0"/>
          <w:szCs w:val="21"/>
        </w:rPr>
        <w:t>2</w:t>
      </w:r>
      <w:r>
        <w:rPr>
          <w:rFonts w:hint="eastAsia" w:hAnsi="宋体" w:cs="AdobeHeitiStd-Regular"/>
          <w:kern w:val="0"/>
          <w:szCs w:val="21"/>
        </w:rPr>
        <w:t>。</w:t>
      </w:r>
    </w:p>
    <w:p>
      <w:pPr>
        <w:spacing w:line="312" w:lineRule="exact"/>
        <w:rPr>
          <w:rFonts w:cs="AdobeHeitiStd-Regular"/>
          <w:kern w:val="0"/>
          <w:szCs w:val="21"/>
        </w:rPr>
      </w:pPr>
      <w:r>
        <w:rPr>
          <w:rStyle w:val="15"/>
          <w:rFonts w:hint="eastAsia"/>
        </w:rPr>
        <w:t>2.3.4</w:t>
      </w:r>
      <w:r>
        <w:rPr>
          <w:rFonts w:hint="eastAsia" w:cs="AdobeHeitiStd-Regular"/>
          <w:kern w:val="0"/>
          <w:szCs w:val="21"/>
        </w:rPr>
        <w:t xml:space="preserve">  </w:t>
      </w:r>
      <w:r>
        <w:rPr>
          <w:rFonts w:hint="eastAsia" w:hAnsi="宋体" w:cs="AdobeHeitiStd-Regular"/>
          <w:kern w:val="0"/>
          <w:szCs w:val="21"/>
        </w:rPr>
        <w:t>额定交流电流：</w:t>
      </w:r>
      <w:r>
        <w:rPr>
          <w:rFonts w:cs="AdobeHeitiStd-Regular"/>
          <w:kern w:val="0"/>
          <w:szCs w:val="21"/>
        </w:rPr>
        <w:t>1A</w:t>
      </w:r>
      <w:r>
        <w:rPr>
          <w:rFonts w:hint="eastAsia" w:cs="AdobeHeitiStd-Regular"/>
          <w:kern w:val="0"/>
          <w:szCs w:val="21"/>
        </w:rPr>
        <w:t>/</w:t>
      </w:r>
      <w:r>
        <w:rPr>
          <w:rFonts w:cs="AdobeHeitiStd-Regular"/>
          <w:kern w:val="0"/>
          <w:szCs w:val="21"/>
        </w:rPr>
        <w:t>5A</w:t>
      </w:r>
      <w:r>
        <w:rPr>
          <w:rFonts w:hint="eastAsia" w:hAnsi="宋体" w:cs="AdobeHeitiStd-Regular"/>
          <w:kern w:val="0"/>
          <w:szCs w:val="21"/>
        </w:rPr>
        <w:t>，过载能力为</w:t>
      </w:r>
      <w:r>
        <w:rPr>
          <w:rFonts w:cs="AdobeHeitiStd-Regular"/>
          <w:kern w:val="0"/>
          <w:szCs w:val="21"/>
        </w:rPr>
        <w:t>1.2</w:t>
      </w:r>
      <w:r>
        <w:rPr>
          <w:rFonts w:hint="eastAsia" w:hAnsi="宋体" w:cs="AdobeHeitiStd-Regular"/>
          <w:kern w:val="0"/>
          <w:szCs w:val="21"/>
        </w:rPr>
        <w:t>倍额定电流连续工作，波峰系数不小于</w:t>
      </w:r>
      <w:r>
        <w:rPr>
          <w:rFonts w:cs="AdobeHeitiStd-Regular"/>
          <w:kern w:val="0"/>
          <w:szCs w:val="21"/>
        </w:rPr>
        <w:t>3</w:t>
      </w:r>
      <w:r>
        <w:rPr>
          <w:rFonts w:hint="eastAsia" w:hAnsi="宋体" w:cs="AdobeHeitiStd-Regular"/>
          <w:kern w:val="0"/>
          <w:szCs w:val="21"/>
        </w:rPr>
        <w:t>。</w:t>
      </w:r>
    </w:p>
    <w:p>
      <w:pPr>
        <w:spacing w:line="312" w:lineRule="exact"/>
        <w:rPr>
          <w:rFonts w:cs="AdobeHeitiStd-Regular"/>
          <w:kern w:val="0"/>
          <w:szCs w:val="21"/>
        </w:rPr>
      </w:pPr>
      <w:r>
        <w:rPr>
          <w:rStyle w:val="15"/>
          <w:rFonts w:hint="eastAsia"/>
        </w:rPr>
        <w:t>2.3.5</w:t>
      </w:r>
      <w:r>
        <w:rPr>
          <w:rFonts w:hint="eastAsia" w:cs="AdobeHeitiStd-Regular"/>
          <w:kern w:val="0"/>
          <w:szCs w:val="21"/>
        </w:rPr>
        <w:t xml:space="preserve">  </w:t>
      </w:r>
      <w:r>
        <w:rPr>
          <w:rFonts w:hint="eastAsia" w:hAnsi="宋体" w:cs="AdobeHeitiStd-Regular"/>
          <w:kern w:val="0"/>
          <w:szCs w:val="21"/>
        </w:rPr>
        <w:t>额定频率：</w:t>
      </w:r>
      <w:r>
        <w:rPr>
          <w:rFonts w:hint="eastAsia" w:cs="AdobeHeitiStd-Regular"/>
          <w:kern w:val="0"/>
          <w:szCs w:val="21"/>
        </w:rPr>
        <w:t>50Hz</w:t>
      </w:r>
      <w:r>
        <w:rPr>
          <w:rFonts w:hint="eastAsia" w:hAnsi="宋体" w:cs="AdobeHeitiStd-Regular"/>
          <w:kern w:val="0"/>
          <w:szCs w:val="21"/>
        </w:rPr>
        <w:t>，允许偏差</w:t>
      </w:r>
      <w:r>
        <w:rPr>
          <w:rFonts w:hint="eastAsia"/>
          <w:color w:val="000000"/>
        </w:rPr>
        <w:t>－5</w:t>
      </w:r>
      <w:r>
        <w:rPr>
          <w:rFonts w:hint="eastAsia" w:hAnsi="宋体"/>
          <w:color w:val="000000"/>
        </w:rPr>
        <w:t>％</w:t>
      </w:r>
      <w:r>
        <w:rPr>
          <w:rFonts w:hint="eastAsia"/>
          <w:color w:val="000000"/>
        </w:rPr>
        <w:t>～＋5</w:t>
      </w:r>
      <w:r>
        <w:rPr>
          <w:rFonts w:hint="eastAsia" w:hAnsi="宋体"/>
          <w:color w:val="000000"/>
        </w:rPr>
        <w:t>％。</w:t>
      </w:r>
    </w:p>
    <w:p>
      <w:pPr>
        <w:pStyle w:val="13"/>
        <w:rPr>
          <w:snapToGrid w:val="0"/>
          <w:kern w:val="0"/>
        </w:rPr>
      </w:pPr>
      <w:bookmarkStart w:id="55" w:name="_Toc256367587"/>
      <w:bookmarkStart w:id="56" w:name="_Toc252535468"/>
      <w:r>
        <w:rPr>
          <w:rFonts w:hint="eastAsia"/>
          <w:kern w:val="0"/>
        </w:rPr>
        <w:t>2.4　装置功率消耗</w:t>
      </w:r>
      <w:bookmarkEnd w:id="55"/>
      <w:bookmarkEnd w:id="56"/>
    </w:p>
    <w:p>
      <w:pPr>
        <w:autoSpaceDE w:val="0"/>
        <w:autoSpaceDN w:val="0"/>
        <w:adjustRightInd w:val="0"/>
        <w:spacing w:line="312" w:lineRule="exact"/>
        <w:ind w:firstLine="425"/>
        <w:jc w:val="left"/>
        <w:rPr>
          <w:rFonts w:cs="AdobeHeitiStd-Regular"/>
          <w:spacing w:val="6"/>
          <w:kern w:val="0"/>
          <w:szCs w:val="21"/>
        </w:rPr>
      </w:pPr>
      <w:r>
        <w:rPr>
          <w:rFonts w:hint="eastAsia" w:hAnsi="宋体" w:cs="AdobeHeitiStd-Regular"/>
          <w:spacing w:val="6"/>
          <w:kern w:val="0"/>
          <w:szCs w:val="21"/>
        </w:rPr>
        <w:t>通过</w:t>
      </w:r>
      <w:r>
        <w:rPr>
          <w:rFonts w:hint="eastAsia" w:cs="AdobeHeitiStd-Regular"/>
          <w:spacing w:val="6"/>
          <w:kern w:val="0"/>
          <w:szCs w:val="21"/>
        </w:rPr>
        <w:t>TV</w:t>
      </w:r>
      <w:r>
        <w:rPr>
          <w:rFonts w:hint="eastAsia" w:hAnsi="宋体" w:cs="AdobeHeitiStd-Regular"/>
          <w:spacing w:val="6"/>
          <w:kern w:val="0"/>
          <w:szCs w:val="21"/>
        </w:rPr>
        <w:t>二次回路供电的监测设备，电源消耗的有功功率不大于</w:t>
      </w:r>
      <w:r>
        <w:rPr>
          <w:rFonts w:cs="AdobeHeitiStd-Regular"/>
          <w:spacing w:val="6"/>
          <w:kern w:val="0"/>
          <w:szCs w:val="21"/>
        </w:rPr>
        <w:t>5W</w:t>
      </w:r>
      <w:r>
        <w:rPr>
          <w:rFonts w:hint="eastAsia" w:hAnsi="宋体" w:cs="AdobeHeitiStd-Regular"/>
          <w:spacing w:val="6"/>
          <w:kern w:val="0"/>
          <w:szCs w:val="21"/>
        </w:rPr>
        <w:t>。</w:t>
      </w:r>
      <w:r>
        <w:rPr>
          <w:rFonts w:hint="eastAsia" w:hAnsi="宋体"/>
          <w:color w:val="000000"/>
          <w:spacing w:val="6"/>
          <w:szCs w:val="21"/>
        </w:rPr>
        <w:t>交流电流回路功率消耗每相不大于</w:t>
      </w:r>
      <w:r>
        <w:rPr>
          <w:rFonts w:hint="eastAsia"/>
          <w:color w:val="000000"/>
          <w:spacing w:val="6"/>
          <w:szCs w:val="21"/>
        </w:rPr>
        <w:t>0.5VA（</w:t>
      </w:r>
      <w:r>
        <w:rPr>
          <w:rFonts w:hint="eastAsia"/>
          <w:i/>
          <w:color w:val="000000"/>
          <w:spacing w:val="6"/>
          <w:szCs w:val="21"/>
        </w:rPr>
        <w:t>I</w:t>
      </w:r>
      <w:r>
        <w:rPr>
          <w:color w:val="000000"/>
          <w:spacing w:val="6"/>
          <w:szCs w:val="21"/>
          <w:vertAlign w:val="subscript"/>
        </w:rPr>
        <w:t>N</w:t>
      </w:r>
      <w:r>
        <w:rPr>
          <w:rFonts w:hint="eastAsia"/>
          <w:color w:val="000000"/>
          <w:spacing w:val="6"/>
          <w:szCs w:val="21"/>
        </w:rPr>
        <w:t>=1A）</w:t>
      </w:r>
      <w:r>
        <w:rPr>
          <w:rFonts w:hint="eastAsia" w:hAnsi="宋体"/>
          <w:color w:val="000000"/>
          <w:spacing w:val="6"/>
          <w:szCs w:val="21"/>
        </w:rPr>
        <w:t>或</w:t>
      </w:r>
      <w:r>
        <w:rPr>
          <w:rFonts w:hint="eastAsia"/>
          <w:color w:val="000000"/>
          <w:spacing w:val="6"/>
          <w:szCs w:val="21"/>
        </w:rPr>
        <w:t>0.75VA</w:t>
      </w:r>
      <w:r>
        <w:rPr>
          <w:rFonts w:hint="eastAsia" w:hAnsi="宋体"/>
          <w:color w:val="000000"/>
          <w:spacing w:val="6"/>
          <w:szCs w:val="21"/>
        </w:rPr>
        <w:t>（</w:t>
      </w:r>
      <w:r>
        <w:rPr>
          <w:rFonts w:hint="eastAsia"/>
          <w:i/>
          <w:color w:val="000000"/>
          <w:spacing w:val="6"/>
          <w:szCs w:val="21"/>
        </w:rPr>
        <w:t>I</w:t>
      </w:r>
      <w:r>
        <w:rPr>
          <w:color w:val="000000"/>
          <w:spacing w:val="6"/>
          <w:szCs w:val="21"/>
          <w:vertAlign w:val="subscript"/>
        </w:rPr>
        <w:t>N</w:t>
      </w:r>
      <w:r>
        <w:rPr>
          <w:rFonts w:hint="eastAsia"/>
          <w:color w:val="000000"/>
          <w:spacing w:val="6"/>
          <w:szCs w:val="21"/>
        </w:rPr>
        <w:t>=5A</w:t>
      </w:r>
      <w:r>
        <w:rPr>
          <w:rFonts w:hint="eastAsia" w:hAnsi="宋体"/>
          <w:color w:val="000000"/>
          <w:spacing w:val="6"/>
          <w:szCs w:val="21"/>
        </w:rPr>
        <w:t>），交流电压回路功率消耗</w:t>
      </w:r>
      <w:r>
        <w:rPr>
          <w:color w:val="000000"/>
          <w:spacing w:val="6"/>
          <w:szCs w:val="21"/>
        </w:rPr>
        <w:t>（</w:t>
      </w:r>
      <w:r>
        <w:rPr>
          <w:rFonts w:hint="eastAsia" w:hAnsi="宋体"/>
          <w:color w:val="000000"/>
          <w:spacing w:val="6"/>
          <w:szCs w:val="21"/>
        </w:rPr>
        <w:t>额定电压下</w:t>
      </w:r>
      <w:r>
        <w:rPr>
          <w:color w:val="000000"/>
          <w:spacing w:val="6"/>
          <w:szCs w:val="21"/>
        </w:rPr>
        <w:t>）</w:t>
      </w:r>
      <w:r>
        <w:rPr>
          <w:rFonts w:hint="eastAsia" w:hAnsi="宋体"/>
          <w:color w:val="000000"/>
          <w:spacing w:val="6"/>
          <w:szCs w:val="21"/>
        </w:rPr>
        <w:t>每相不大于</w:t>
      </w:r>
      <w:r>
        <w:rPr>
          <w:rFonts w:hint="eastAsia" w:cs="AdobeHeitiStd-Regular"/>
          <w:spacing w:val="6"/>
          <w:kern w:val="0"/>
          <w:szCs w:val="21"/>
        </w:rPr>
        <w:t>0.</w:t>
      </w:r>
      <w:r>
        <w:rPr>
          <w:rFonts w:cs="AdobeHeitiStd-Regular"/>
          <w:spacing w:val="6"/>
          <w:kern w:val="0"/>
          <w:szCs w:val="21"/>
        </w:rPr>
        <w:t>75VA</w:t>
      </w:r>
      <w:r>
        <w:rPr>
          <w:rFonts w:hint="eastAsia" w:hAnsi="宋体" w:cs="AdobeHeitiStd-Regular"/>
          <w:spacing w:val="6"/>
          <w:kern w:val="0"/>
          <w:szCs w:val="21"/>
        </w:rPr>
        <w:t>。</w:t>
      </w:r>
    </w:p>
    <w:p>
      <w:pPr>
        <w:pStyle w:val="13"/>
        <w:rPr>
          <w:rFonts w:cs="AdobeHeitiStd-Regular"/>
          <w:kern w:val="0"/>
        </w:rPr>
      </w:pPr>
      <w:bookmarkStart w:id="57" w:name="_Toc256367588"/>
      <w:bookmarkStart w:id="58" w:name="_Toc252535469"/>
      <w:r>
        <w:rPr>
          <w:rFonts w:hint="eastAsia"/>
          <w:snapToGrid w:val="0"/>
          <w:kern w:val="0"/>
        </w:rPr>
        <w:t>2.5　电能质量在线监测装置总的技术</w:t>
      </w:r>
      <w:r>
        <w:rPr>
          <w:rFonts w:hint="eastAsia" w:cs="AdobeHeitiStd-Regular"/>
          <w:kern w:val="0"/>
        </w:rPr>
        <w:t>要求</w:t>
      </w:r>
      <w:bookmarkEnd w:id="46"/>
      <w:bookmarkEnd w:id="47"/>
      <w:bookmarkEnd w:id="48"/>
      <w:bookmarkEnd w:id="49"/>
      <w:bookmarkEnd w:id="50"/>
      <w:bookmarkEnd w:id="51"/>
      <w:bookmarkEnd w:id="57"/>
      <w:bookmarkEnd w:id="58"/>
    </w:p>
    <w:p>
      <w:pPr>
        <w:autoSpaceDE w:val="0"/>
        <w:autoSpaceDN w:val="0"/>
        <w:adjustRightInd w:val="0"/>
        <w:spacing w:line="312" w:lineRule="exact"/>
        <w:jc w:val="left"/>
        <w:rPr>
          <w:szCs w:val="21"/>
        </w:rPr>
      </w:pPr>
      <w:r>
        <w:rPr>
          <w:rStyle w:val="15"/>
          <w:rFonts w:hint="eastAsia"/>
        </w:rPr>
        <w:t>2.5.1</w:t>
      </w:r>
      <w:r>
        <w:rPr>
          <w:rFonts w:hint="eastAsia"/>
        </w:rPr>
        <w:t xml:space="preserve">  </w:t>
      </w:r>
      <w:r>
        <w:rPr>
          <w:rFonts w:hint="eastAsia" w:hAnsi="宋体"/>
        </w:rPr>
        <w:t>监测设备根据安装地点和监测要求，应具备</w:t>
      </w:r>
      <w:r>
        <w:rPr>
          <w:rFonts w:hint="eastAsia" w:hAnsi="宋体" w:cs="AdobeHeitiStd-Regular"/>
          <w:kern w:val="0"/>
          <w:szCs w:val="21"/>
        </w:rPr>
        <w:t>可</w:t>
      </w:r>
      <w:r>
        <w:rPr>
          <w:rFonts w:hint="eastAsia" w:hAnsi="宋体"/>
        </w:rPr>
        <w:t>选择的</w:t>
      </w:r>
      <w:r>
        <w:rPr>
          <w:rFonts w:hint="eastAsia" w:hAnsi="宋体" w:cs="AdobeHeitiStd-Regular"/>
          <w:kern w:val="0"/>
          <w:szCs w:val="21"/>
        </w:rPr>
        <w:t>监测功能，包括</w:t>
      </w:r>
      <w:r>
        <w:rPr>
          <w:rFonts w:hint="eastAsia" w:hAnsi="宋体"/>
          <w:szCs w:val="21"/>
        </w:rPr>
        <w:t>电压偏差、频率偏差、三相电压幅值相位不平衡度、三相电流幅值相位不平衡度、负序电流、谐波、电压波动。</w:t>
      </w:r>
    </w:p>
    <w:p>
      <w:pPr>
        <w:autoSpaceDE w:val="0"/>
        <w:autoSpaceDN w:val="0"/>
        <w:adjustRightInd w:val="0"/>
        <w:spacing w:line="312" w:lineRule="exact"/>
        <w:jc w:val="left"/>
        <w:rPr>
          <w:rFonts w:cs="AdobeHeitiStd-Regular"/>
          <w:kern w:val="0"/>
          <w:szCs w:val="21"/>
        </w:rPr>
      </w:pPr>
      <w:r>
        <w:rPr>
          <w:rStyle w:val="15"/>
          <w:rFonts w:hint="eastAsia"/>
        </w:rPr>
        <w:t>2</w:t>
      </w:r>
      <w:r>
        <w:rPr>
          <w:rStyle w:val="15"/>
        </w:rPr>
        <w:t>.</w:t>
      </w:r>
      <w:r>
        <w:rPr>
          <w:rStyle w:val="15"/>
          <w:rFonts w:hint="eastAsia"/>
        </w:rPr>
        <w:t>5</w:t>
      </w:r>
      <w:r>
        <w:rPr>
          <w:rStyle w:val="15"/>
        </w:rPr>
        <w:t>.</w:t>
      </w:r>
      <w:r>
        <w:rPr>
          <w:rStyle w:val="15"/>
          <w:rFonts w:hint="eastAsia"/>
        </w:rPr>
        <w:t>2</w:t>
      </w:r>
      <w:r>
        <w:rPr>
          <w:rFonts w:hint="eastAsia" w:cs="AdobeHeitiStd-Regular"/>
          <w:kern w:val="0"/>
          <w:szCs w:val="21"/>
        </w:rPr>
        <w:t xml:space="preserve">  </w:t>
      </w:r>
      <w:r>
        <w:rPr>
          <w:rFonts w:hint="eastAsia" w:hAnsi="宋体" w:cs="AdobeHeitiStd-Regular"/>
          <w:kern w:val="0"/>
          <w:szCs w:val="21"/>
        </w:rPr>
        <w:t>监测设备应具有记录存储功能，且监测设备的存储记录应至少保存</w:t>
      </w:r>
      <w:r>
        <w:rPr>
          <w:rFonts w:cs="AdobeHeitiStd-Regular"/>
          <w:kern w:val="0"/>
          <w:szCs w:val="21"/>
        </w:rPr>
        <w:t>15</w:t>
      </w:r>
      <w:r>
        <w:rPr>
          <w:rFonts w:hint="eastAsia" w:hAnsi="宋体" w:cs="AdobeHeitiStd-Regular"/>
          <w:kern w:val="0"/>
          <w:szCs w:val="21"/>
        </w:rPr>
        <w:t>天。</w:t>
      </w:r>
    </w:p>
    <w:p>
      <w:pPr>
        <w:tabs>
          <w:tab w:val="left" w:pos="2205"/>
        </w:tabs>
        <w:autoSpaceDE w:val="0"/>
        <w:autoSpaceDN w:val="0"/>
        <w:adjustRightInd w:val="0"/>
        <w:spacing w:line="312" w:lineRule="exact"/>
        <w:jc w:val="left"/>
        <w:rPr>
          <w:rFonts w:cs="AdobeHeitiStd-Regular"/>
          <w:kern w:val="0"/>
          <w:szCs w:val="21"/>
        </w:rPr>
      </w:pPr>
      <w:r>
        <w:rPr>
          <w:rStyle w:val="15"/>
          <w:rFonts w:hint="eastAsia"/>
        </w:rPr>
        <w:t>2</w:t>
      </w:r>
      <w:r>
        <w:rPr>
          <w:rStyle w:val="15"/>
        </w:rPr>
        <w:t>.</w:t>
      </w:r>
      <w:r>
        <w:rPr>
          <w:rStyle w:val="15"/>
          <w:rFonts w:hint="eastAsia"/>
        </w:rPr>
        <w:t>5</w:t>
      </w:r>
      <w:r>
        <w:rPr>
          <w:rStyle w:val="15"/>
        </w:rPr>
        <w:t>.</w:t>
      </w:r>
      <w:r>
        <w:rPr>
          <w:rStyle w:val="15"/>
          <w:rFonts w:hint="eastAsia"/>
        </w:rPr>
        <w:t>3</w:t>
      </w:r>
      <w:r>
        <w:rPr>
          <w:rFonts w:hint="eastAsia" w:cs="AdobeHeitiStd-Regular"/>
          <w:kern w:val="0"/>
          <w:szCs w:val="21"/>
        </w:rPr>
        <w:t xml:space="preserve"> </w:t>
      </w:r>
      <w:r>
        <w:rPr>
          <w:rFonts w:cs="AdobeHeitiStd-Regular"/>
          <w:kern w:val="0"/>
          <w:szCs w:val="21"/>
        </w:rPr>
        <w:t xml:space="preserve"> </w:t>
      </w:r>
      <w:r>
        <w:rPr>
          <w:rFonts w:hint="eastAsia" w:hAnsi="宋体" w:cs="AdobeHeitiStd-Regular"/>
          <w:kern w:val="0"/>
          <w:szCs w:val="21"/>
        </w:rPr>
        <w:t>监测设备应具有实时数据显示、权限管理、设置、对时、统计、自检等功能。</w:t>
      </w:r>
    </w:p>
    <w:p>
      <w:pPr>
        <w:autoSpaceDE w:val="0"/>
        <w:autoSpaceDN w:val="0"/>
        <w:adjustRightInd w:val="0"/>
        <w:spacing w:line="312" w:lineRule="exact"/>
        <w:jc w:val="left"/>
        <w:rPr>
          <w:rFonts w:cs="AdobeHeitiStd-Regular"/>
          <w:kern w:val="0"/>
          <w:szCs w:val="21"/>
        </w:rPr>
      </w:pPr>
      <w:r>
        <w:rPr>
          <w:rStyle w:val="15"/>
          <w:rFonts w:hint="eastAsia"/>
        </w:rPr>
        <w:t>2</w:t>
      </w:r>
      <w:r>
        <w:rPr>
          <w:rStyle w:val="15"/>
        </w:rPr>
        <w:t>.</w:t>
      </w:r>
      <w:r>
        <w:rPr>
          <w:rStyle w:val="15"/>
          <w:rFonts w:hint="eastAsia"/>
        </w:rPr>
        <w:t>5</w:t>
      </w:r>
      <w:r>
        <w:rPr>
          <w:rStyle w:val="15"/>
        </w:rPr>
        <w:t>.</w:t>
      </w:r>
      <w:r>
        <w:rPr>
          <w:rStyle w:val="15"/>
          <w:rFonts w:hint="eastAsia"/>
        </w:rPr>
        <w:t>4</w:t>
      </w:r>
      <w:r>
        <w:rPr>
          <w:rFonts w:hint="eastAsia" w:cs="AdobeHeitiStd-Regular"/>
          <w:kern w:val="0"/>
          <w:szCs w:val="21"/>
        </w:rPr>
        <w:t xml:space="preserve">  </w:t>
      </w:r>
      <w:r>
        <w:rPr>
          <w:rFonts w:hint="eastAsia" w:hAnsi="宋体" w:cs="AdobeHeitiStd-Regular"/>
          <w:kern w:val="0"/>
          <w:szCs w:val="21"/>
        </w:rPr>
        <w:t>监测设备应具备标准通信接口，实现监测数据的实时传输或定时提取，并能对通信口进行灵活配置与实时监视。通信规约可参照变电站综合自动化设备的相关规定。</w:t>
      </w:r>
    </w:p>
    <w:p>
      <w:pPr>
        <w:autoSpaceDE w:val="0"/>
        <w:autoSpaceDN w:val="0"/>
        <w:adjustRightInd w:val="0"/>
        <w:spacing w:line="312" w:lineRule="exact"/>
        <w:jc w:val="left"/>
        <w:rPr>
          <w:snapToGrid w:val="0"/>
          <w:kern w:val="0"/>
        </w:rPr>
      </w:pPr>
      <w:bookmarkStart w:id="59" w:name="_Toc250484023"/>
      <w:bookmarkStart w:id="60" w:name="_Toc250485454"/>
      <w:bookmarkStart w:id="61" w:name="_Toc250621497"/>
      <w:bookmarkStart w:id="62" w:name="_Toc250621611"/>
      <w:bookmarkStart w:id="63" w:name="_Toc250740464"/>
      <w:bookmarkStart w:id="64" w:name="_Toc250741112"/>
      <w:r>
        <w:rPr>
          <w:rStyle w:val="15"/>
          <w:rFonts w:hint="eastAsia"/>
        </w:rPr>
        <w:t>2.5.5</w:t>
      </w:r>
      <w:r>
        <w:rPr>
          <w:rFonts w:hint="eastAsia" w:cs="AdobeHeitiStd-Regular"/>
          <w:kern w:val="0"/>
          <w:szCs w:val="21"/>
        </w:rPr>
        <w:t xml:space="preserve">  </w:t>
      </w:r>
      <w:r>
        <w:rPr>
          <w:rFonts w:hint="eastAsia" w:hAnsi="宋体" w:cs="AdobeHeitiStd-Regular"/>
          <w:kern w:val="0"/>
        </w:rPr>
        <w:t>准确度要求</w:t>
      </w:r>
      <w:bookmarkEnd w:id="59"/>
      <w:bookmarkEnd w:id="60"/>
      <w:bookmarkEnd w:id="61"/>
      <w:bookmarkEnd w:id="62"/>
      <w:bookmarkEnd w:id="63"/>
      <w:bookmarkEnd w:id="64"/>
      <w:r>
        <w:rPr>
          <w:rFonts w:hint="eastAsia" w:hAnsi="宋体" w:cs="AdobeHeitiStd-Regular"/>
          <w:kern w:val="0"/>
        </w:rPr>
        <w:t>。</w:t>
      </w:r>
    </w:p>
    <w:p>
      <w:pPr>
        <w:spacing w:line="312" w:lineRule="exact"/>
        <w:ind w:firstLine="425"/>
        <w:rPr>
          <w:rFonts w:cs="AdobeHeitiStd-Regular"/>
          <w:kern w:val="0"/>
          <w:szCs w:val="21"/>
        </w:rPr>
      </w:pPr>
      <w:r>
        <w:rPr>
          <w:rFonts w:hint="eastAsia" w:hAnsi="宋体" w:cs="AdobeHeitiStd-Regular"/>
          <w:kern w:val="0"/>
          <w:szCs w:val="21"/>
        </w:rPr>
        <w:t>监测设备各相应指标的精度误差应满足下述要求</w:t>
      </w:r>
      <w:r>
        <w:rPr>
          <w:rFonts w:cs="AdobeHeitiStd-Regular"/>
          <w:kern w:val="0"/>
          <w:szCs w:val="21"/>
        </w:rPr>
        <w:t>：</w:t>
      </w:r>
    </w:p>
    <w:p>
      <w:pPr>
        <w:tabs>
          <w:tab w:val="center" w:pos="4747"/>
        </w:tabs>
        <w:autoSpaceDE w:val="0"/>
        <w:autoSpaceDN w:val="0"/>
        <w:adjustRightInd w:val="0"/>
        <w:spacing w:line="312" w:lineRule="exact"/>
        <w:ind w:firstLine="425"/>
        <w:jc w:val="left"/>
        <w:rPr>
          <w:rFonts w:cs="AdobeHeitiStd-Regular"/>
          <w:kern w:val="0"/>
          <w:szCs w:val="21"/>
        </w:rPr>
      </w:pPr>
      <w:r>
        <w:rPr>
          <w:rFonts w:hint="eastAsia" w:hAnsi="宋体" w:cs="AdobeHeitiStd-Regular"/>
          <w:kern w:val="0"/>
          <w:szCs w:val="21"/>
        </w:rPr>
        <w:t>电压偏差：</w:t>
      </w:r>
      <w:r>
        <w:rPr>
          <w:rFonts w:hint="eastAsia" w:cs="AdobeHeitiStd-Regular"/>
          <w:kern w:val="0"/>
          <w:szCs w:val="21"/>
        </w:rPr>
        <w:t>≤</w:t>
      </w:r>
      <w:r>
        <w:rPr>
          <w:rFonts w:cs="AdobeHeitiStd-Regular"/>
          <w:kern w:val="0"/>
          <w:szCs w:val="21"/>
        </w:rPr>
        <w:t>0.</w:t>
      </w:r>
      <w:r>
        <w:rPr>
          <w:rFonts w:hint="eastAsia" w:cs="AdobeHeitiStd-Regular"/>
          <w:kern w:val="0"/>
          <w:szCs w:val="21"/>
        </w:rPr>
        <w:t>5</w:t>
      </w:r>
      <w:r>
        <w:rPr>
          <w:rFonts w:cs="AdobeHeitiStd-Regular"/>
          <w:kern w:val="0"/>
          <w:szCs w:val="21"/>
        </w:rPr>
        <w:t>％</w:t>
      </w:r>
      <w:r>
        <w:rPr>
          <w:rFonts w:hint="eastAsia" w:hAnsi="宋体" w:cs="AdobeHeitiStd-Regular"/>
          <w:kern w:val="0"/>
          <w:szCs w:val="21"/>
        </w:rPr>
        <w:t>；</w:t>
      </w:r>
    </w:p>
    <w:p>
      <w:pPr>
        <w:autoSpaceDE w:val="0"/>
        <w:autoSpaceDN w:val="0"/>
        <w:adjustRightInd w:val="0"/>
        <w:spacing w:line="312" w:lineRule="exact"/>
        <w:ind w:firstLine="425"/>
        <w:jc w:val="left"/>
        <w:rPr>
          <w:rFonts w:cs="AdobeHeitiStd-Regular"/>
          <w:kern w:val="0"/>
          <w:szCs w:val="21"/>
        </w:rPr>
      </w:pPr>
      <w:r>
        <w:rPr>
          <w:rFonts w:hint="eastAsia" w:hAnsi="宋体" w:cs="AdobeHeitiStd-Regular"/>
          <w:kern w:val="0"/>
          <w:szCs w:val="21"/>
        </w:rPr>
        <w:t>频率偏差：</w:t>
      </w:r>
      <w:r>
        <w:rPr>
          <w:rFonts w:hint="eastAsia" w:cs="AdobeHeitiStd-Regular"/>
          <w:kern w:val="0"/>
          <w:szCs w:val="21"/>
        </w:rPr>
        <w:t>≤</w:t>
      </w:r>
      <w:r>
        <w:rPr>
          <w:rFonts w:cs="AdobeHeitiStd-Regular"/>
          <w:kern w:val="0"/>
          <w:szCs w:val="21"/>
        </w:rPr>
        <w:t>0.01Hz</w:t>
      </w:r>
      <w:r>
        <w:rPr>
          <w:rFonts w:hint="eastAsia" w:hAnsi="宋体" w:cs="AdobeHeitiStd-Regular"/>
          <w:kern w:val="0"/>
          <w:szCs w:val="21"/>
        </w:rPr>
        <w:t>；</w:t>
      </w:r>
    </w:p>
    <w:p>
      <w:pPr>
        <w:autoSpaceDE w:val="0"/>
        <w:autoSpaceDN w:val="0"/>
        <w:adjustRightInd w:val="0"/>
        <w:spacing w:line="312" w:lineRule="exact"/>
        <w:ind w:firstLine="425"/>
        <w:jc w:val="left"/>
        <w:rPr>
          <w:rFonts w:cs="AdobeHeitiStd-Regular"/>
          <w:kern w:val="0"/>
          <w:szCs w:val="21"/>
        </w:rPr>
      </w:pPr>
      <w:r>
        <w:rPr>
          <w:rFonts w:hint="eastAsia" w:hAnsi="宋体" w:cs="AdobeHeitiStd-Regular"/>
          <w:kern w:val="0"/>
          <w:szCs w:val="21"/>
        </w:rPr>
        <w:t>三相电压不平衡度：</w:t>
      </w:r>
      <w:r>
        <w:rPr>
          <w:rFonts w:hint="eastAsia" w:cs="AdobeHeitiStd-Regular"/>
          <w:kern w:val="0"/>
          <w:szCs w:val="21"/>
        </w:rPr>
        <w:t>≤</w:t>
      </w:r>
      <w:r>
        <w:rPr>
          <w:rFonts w:cs="AdobeHeitiStd-Regular"/>
          <w:kern w:val="0"/>
          <w:szCs w:val="21"/>
        </w:rPr>
        <w:t>0.2％</w:t>
      </w:r>
      <w:r>
        <w:rPr>
          <w:rFonts w:hint="eastAsia" w:hAnsi="宋体" w:cs="AdobeHeitiStd-Regular"/>
          <w:kern w:val="0"/>
          <w:szCs w:val="21"/>
        </w:rPr>
        <w:t>；</w:t>
      </w:r>
    </w:p>
    <w:p>
      <w:pPr>
        <w:spacing w:line="312" w:lineRule="exact"/>
        <w:ind w:firstLine="425"/>
        <w:rPr>
          <w:rFonts w:cs="AdobeHeitiStd-Regular"/>
          <w:kern w:val="0"/>
          <w:szCs w:val="21"/>
        </w:rPr>
      </w:pPr>
      <w:r>
        <w:rPr>
          <w:rFonts w:hint="eastAsia" w:hAnsi="宋体" w:cs="AdobeHeitiStd-Regular"/>
          <w:kern w:val="0"/>
          <w:szCs w:val="21"/>
        </w:rPr>
        <w:t>三相电流不平衡度：</w:t>
      </w:r>
      <w:r>
        <w:rPr>
          <w:rFonts w:hint="eastAsia" w:cs="AdobeHeitiStd-Regular"/>
          <w:kern w:val="0"/>
          <w:szCs w:val="21"/>
        </w:rPr>
        <w:t>≤1</w:t>
      </w:r>
      <w:r>
        <w:rPr>
          <w:rFonts w:cs="AdobeHeitiStd-Regular"/>
          <w:kern w:val="0"/>
          <w:szCs w:val="21"/>
        </w:rPr>
        <w:t>％</w:t>
      </w:r>
      <w:r>
        <w:rPr>
          <w:rFonts w:hint="eastAsia" w:hAnsi="宋体" w:cs="AdobeHeitiStd-Regular"/>
          <w:kern w:val="0"/>
          <w:szCs w:val="21"/>
        </w:rPr>
        <w:t>；</w:t>
      </w:r>
    </w:p>
    <w:p>
      <w:pPr>
        <w:spacing w:line="312" w:lineRule="exact"/>
        <w:ind w:firstLine="425"/>
        <w:rPr>
          <w:rFonts w:cs="AdobeHeitiStd-Regular"/>
          <w:kern w:val="0"/>
          <w:szCs w:val="21"/>
        </w:rPr>
      </w:pPr>
      <w:r>
        <w:rPr>
          <w:rFonts w:hint="eastAsia" w:hAnsi="宋体" w:cs="AdobeHeitiStd-Regular"/>
          <w:kern w:val="0"/>
          <w:szCs w:val="21"/>
        </w:rPr>
        <w:t>闪变：</w:t>
      </w:r>
      <w:r>
        <w:rPr>
          <w:rFonts w:hint="eastAsia" w:cs="AdobeHeitiStd-Regular"/>
          <w:kern w:val="0"/>
          <w:szCs w:val="21"/>
        </w:rPr>
        <w:t>≤5</w:t>
      </w:r>
      <w:r>
        <w:rPr>
          <w:rFonts w:cs="AdobeHeitiStd-Regular"/>
          <w:kern w:val="0"/>
          <w:szCs w:val="21"/>
        </w:rPr>
        <w:t>％</w:t>
      </w:r>
      <w:r>
        <w:rPr>
          <w:rFonts w:hint="eastAsia" w:hAnsi="宋体" w:cs="AdobeHeitiStd-Regular"/>
          <w:kern w:val="0"/>
          <w:szCs w:val="21"/>
        </w:rPr>
        <w:t>；</w:t>
      </w:r>
    </w:p>
    <w:p>
      <w:pPr>
        <w:spacing w:line="312" w:lineRule="exact"/>
        <w:ind w:firstLine="425"/>
        <w:rPr>
          <w:rFonts w:cs="AdobeHeitiStd-Regular"/>
          <w:kern w:val="0"/>
          <w:szCs w:val="21"/>
        </w:rPr>
      </w:pPr>
      <w:r>
        <w:rPr>
          <w:rFonts w:hint="eastAsia" w:hAnsi="宋体" w:cs="AdobeHeitiStd-Regular"/>
          <w:kern w:val="0"/>
          <w:szCs w:val="21"/>
        </w:rPr>
        <w:t>电压波动：</w:t>
      </w:r>
      <w:r>
        <w:rPr>
          <w:rFonts w:hint="eastAsia" w:cs="AdobeHeitiStd-Regular"/>
          <w:kern w:val="0"/>
          <w:szCs w:val="21"/>
        </w:rPr>
        <w:t>≤</w:t>
      </w:r>
      <w:r>
        <w:rPr>
          <w:rFonts w:hint="eastAsia" w:hAnsi="宋体" w:cs="AdobeHeitiStd-Regular"/>
          <w:kern w:val="0"/>
          <w:szCs w:val="21"/>
        </w:rPr>
        <w:t>5</w:t>
      </w:r>
      <w:r>
        <w:rPr>
          <w:rFonts w:cs="AdobeHeitiStd-Regular"/>
          <w:kern w:val="0"/>
          <w:szCs w:val="21"/>
        </w:rPr>
        <w:t>％</w:t>
      </w:r>
      <w:r>
        <w:rPr>
          <w:rFonts w:hint="eastAsia" w:hAnsi="宋体" w:cs="AdobeHeitiStd-Regular"/>
          <w:kern w:val="0"/>
          <w:szCs w:val="21"/>
        </w:rPr>
        <w:t>；</w:t>
      </w:r>
    </w:p>
    <w:p>
      <w:pPr>
        <w:spacing w:line="312" w:lineRule="exact"/>
        <w:ind w:firstLine="425"/>
        <w:rPr>
          <w:rFonts w:cs="AdobeHeitiStd-Regular"/>
          <w:kern w:val="0"/>
          <w:szCs w:val="21"/>
        </w:rPr>
      </w:pPr>
      <w:r>
        <w:rPr>
          <w:rFonts w:hint="eastAsia" w:hAnsi="宋体" w:cs="AdobeHeitiStd-Regular"/>
          <w:kern w:val="0"/>
          <w:szCs w:val="21"/>
        </w:rPr>
        <w:t>谐波：具体规定见表2。</w:t>
      </w:r>
    </w:p>
    <w:p>
      <w:pPr>
        <w:pStyle w:val="16"/>
      </w:pPr>
      <w:r>
        <w:rPr>
          <w:rFonts w:hint="eastAsia"/>
        </w:rPr>
        <w:t>表2　谐波监测准确度等级</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69"/>
        <w:gridCol w:w="2353"/>
        <w:gridCol w:w="2353"/>
        <w:gridCol w:w="23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9" w:type="dxa"/>
            <w:tcMar>
              <w:left w:w="0" w:type="dxa"/>
              <w:right w:w="0" w:type="dxa"/>
            </w:tcMar>
            <w:vAlign w:val="center"/>
          </w:tcPr>
          <w:p>
            <w:pPr>
              <w:pStyle w:val="20"/>
            </w:pPr>
            <w:r>
              <w:rPr>
                <w:rFonts w:hint="eastAsia"/>
              </w:rPr>
              <w:t>等    级</w:t>
            </w:r>
          </w:p>
        </w:tc>
        <w:tc>
          <w:tcPr>
            <w:tcW w:w="2353" w:type="dxa"/>
            <w:tcMar>
              <w:left w:w="0" w:type="dxa"/>
              <w:right w:w="0" w:type="dxa"/>
            </w:tcMar>
            <w:vAlign w:val="center"/>
          </w:tcPr>
          <w:p>
            <w:pPr>
              <w:pStyle w:val="20"/>
            </w:pPr>
            <w:r>
              <w:rPr>
                <w:rFonts w:hint="eastAsia"/>
              </w:rPr>
              <w:t>被  测  量</w:t>
            </w:r>
          </w:p>
        </w:tc>
        <w:tc>
          <w:tcPr>
            <w:tcW w:w="2353" w:type="dxa"/>
            <w:tcMar>
              <w:left w:w="0" w:type="dxa"/>
              <w:right w:w="0" w:type="dxa"/>
            </w:tcMar>
            <w:vAlign w:val="center"/>
          </w:tcPr>
          <w:p>
            <w:pPr>
              <w:pStyle w:val="20"/>
            </w:pPr>
            <w:r>
              <w:rPr>
                <w:rFonts w:hint="eastAsia"/>
              </w:rPr>
              <w:t>条    件</w:t>
            </w:r>
          </w:p>
        </w:tc>
        <w:tc>
          <w:tcPr>
            <w:tcW w:w="2351" w:type="dxa"/>
            <w:tcMar>
              <w:left w:w="0" w:type="dxa"/>
              <w:right w:w="0" w:type="dxa"/>
            </w:tcMar>
            <w:vAlign w:val="center"/>
          </w:tcPr>
          <w:p>
            <w:pPr>
              <w:pStyle w:val="20"/>
            </w:pPr>
            <w:r>
              <w:rPr>
                <w:rFonts w:hint="eastAsia"/>
              </w:rPr>
              <w:t>允  许  误  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9" w:type="dxa"/>
            <w:vMerge w:val="restart"/>
            <w:tcMar>
              <w:left w:w="0" w:type="dxa"/>
              <w:right w:w="0" w:type="dxa"/>
            </w:tcMar>
            <w:vAlign w:val="center"/>
          </w:tcPr>
          <w:p>
            <w:pPr>
              <w:pStyle w:val="20"/>
            </w:pPr>
            <w:r>
              <w:rPr>
                <w:rFonts w:hint="eastAsia"/>
              </w:rPr>
              <w:t>A</w:t>
            </w:r>
          </w:p>
        </w:tc>
        <w:tc>
          <w:tcPr>
            <w:tcW w:w="2353" w:type="dxa"/>
            <w:tcMar>
              <w:left w:w="0" w:type="dxa"/>
              <w:right w:w="0" w:type="dxa"/>
            </w:tcMar>
            <w:vAlign w:val="center"/>
          </w:tcPr>
          <w:p>
            <w:pPr>
              <w:pStyle w:val="20"/>
              <w:rPr>
                <w:lang w:val="fr-CA"/>
              </w:rPr>
            </w:pPr>
            <w:r>
              <w:rPr>
                <w:rFonts w:hint="eastAsia"/>
                <w:lang w:val="fr-CA"/>
              </w:rPr>
              <w:t>电压</w:t>
            </w:r>
          </w:p>
        </w:tc>
        <w:tc>
          <w:tcPr>
            <w:tcW w:w="2353" w:type="dxa"/>
            <w:tcMar>
              <w:left w:w="0" w:type="dxa"/>
              <w:right w:w="0" w:type="dxa"/>
            </w:tcMar>
            <w:vAlign w:val="center"/>
          </w:tcPr>
          <w:p>
            <w:pPr>
              <w:pStyle w:val="20"/>
              <w:spacing w:before="80" w:afterLines="10"/>
              <w:rPr>
                <w:vertAlign w:val="subscript"/>
                <w:lang w:val="fr-CA"/>
              </w:rPr>
            </w:pPr>
            <w:r>
              <w:rPr>
                <w:rFonts w:hint="eastAsia"/>
                <w:i/>
                <w:lang w:val="fr-CA"/>
              </w:rPr>
              <w:t>U</w:t>
            </w:r>
            <w:r>
              <w:rPr>
                <w:rFonts w:hint="eastAsia"/>
                <w:vertAlign w:val="subscript"/>
                <w:lang w:val="fr-CA"/>
              </w:rPr>
              <w:t>h</w:t>
            </w:r>
            <w:r>
              <w:rPr>
                <w:rFonts w:hint="eastAsia"/>
                <w:lang w:val="fr-CA"/>
              </w:rPr>
              <w:t>≥</w:t>
            </w:r>
            <w:r>
              <w:rPr>
                <w:lang w:val="fr-CA"/>
              </w:rPr>
              <w:t>1％</w:t>
            </w:r>
            <w:r>
              <w:rPr>
                <w:rFonts w:hint="eastAsia"/>
                <w:i/>
                <w:lang w:val="fr-CA"/>
              </w:rPr>
              <w:t>U</w:t>
            </w:r>
            <w:r>
              <w:rPr>
                <w:rFonts w:hint="eastAsia"/>
                <w:vertAlign w:val="subscript"/>
                <w:lang w:val="fr-CA"/>
              </w:rPr>
              <w:t>N</w:t>
            </w:r>
          </w:p>
          <w:p>
            <w:pPr>
              <w:pStyle w:val="20"/>
              <w:spacing w:before="0" w:after="80"/>
              <w:rPr>
                <w:vertAlign w:val="subscript"/>
                <w:lang w:val="fr-CA"/>
              </w:rPr>
            </w:pPr>
            <w:r>
              <w:rPr>
                <w:rFonts w:hint="eastAsia"/>
                <w:i/>
                <w:lang w:val="fr-CA"/>
              </w:rPr>
              <w:t>U</w:t>
            </w:r>
            <w:r>
              <w:rPr>
                <w:rFonts w:hint="eastAsia"/>
                <w:vertAlign w:val="subscript"/>
                <w:lang w:val="fr-CA"/>
              </w:rPr>
              <w:t>h</w:t>
            </w:r>
            <w:r>
              <w:rPr>
                <w:rFonts w:hint="eastAsia"/>
                <w:lang w:val="fr-CA"/>
              </w:rPr>
              <w:t>＜</w:t>
            </w:r>
            <w:r>
              <w:rPr>
                <w:lang w:val="fr-CA"/>
              </w:rPr>
              <w:t>1％</w:t>
            </w:r>
            <w:r>
              <w:rPr>
                <w:i/>
                <w:lang w:val="fr-CA"/>
              </w:rPr>
              <w:t>U</w:t>
            </w:r>
            <w:r>
              <w:rPr>
                <w:rFonts w:hint="eastAsia"/>
                <w:vertAlign w:val="subscript"/>
                <w:lang w:val="fr-CA"/>
              </w:rPr>
              <w:t>N</w:t>
            </w:r>
          </w:p>
        </w:tc>
        <w:tc>
          <w:tcPr>
            <w:tcW w:w="2351" w:type="dxa"/>
            <w:tcMar>
              <w:left w:w="0" w:type="dxa"/>
              <w:right w:w="0" w:type="dxa"/>
            </w:tcMar>
            <w:vAlign w:val="center"/>
          </w:tcPr>
          <w:p>
            <w:pPr>
              <w:pStyle w:val="20"/>
              <w:spacing w:after="0"/>
              <w:rPr>
                <w:vertAlign w:val="subscript"/>
                <w:lang w:val="en-GB"/>
              </w:rPr>
            </w:pPr>
            <w:r>
              <w:rPr>
                <w:lang w:val="en-GB"/>
              </w:rPr>
              <w:t>5％</w:t>
            </w:r>
            <w:r>
              <w:rPr>
                <w:rFonts w:hint="eastAsia"/>
                <w:i/>
                <w:lang w:val="fr-CA"/>
              </w:rPr>
              <w:t>U</w:t>
            </w:r>
            <w:r>
              <w:rPr>
                <w:rFonts w:hint="eastAsia"/>
                <w:vertAlign w:val="subscript"/>
                <w:lang w:val="fr-CA"/>
              </w:rPr>
              <w:t>h</w:t>
            </w:r>
          </w:p>
          <w:p>
            <w:pPr>
              <w:pStyle w:val="20"/>
              <w:spacing w:before="0"/>
            </w:pPr>
            <w:r>
              <w:t>0</w:t>
            </w:r>
            <w:r>
              <w:rPr>
                <w:rFonts w:hint="eastAsia"/>
              </w:rPr>
              <w:t>.</w:t>
            </w:r>
            <w:r>
              <w:t>05％</w:t>
            </w:r>
            <w:r>
              <w:rPr>
                <w:i/>
                <w:lang w:val="fr-CA"/>
              </w:rPr>
              <w:t>U</w:t>
            </w:r>
            <w:r>
              <w:rPr>
                <w:rFonts w:hint="eastAsia"/>
                <w:vertAlign w:val="subscript"/>
                <w:lang w:val="fr-CA"/>
              </w:rPr>
              <w:t>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9" w:type="dxa"/>
            <w:vMerge w:val="continue"/>
            <w:tcMar>
              <w:left w:w="0" w:type="dxa"/>
              <w:right w:w="0" w:type="dxa"/>
            </w:tcMar>
            <w:vAlign w:val="center"/>
          </w:tcPr>
          <w:p>
            <w:pPr>
              <w:pStyle w:val="20"/>
            </w:pPr>
          </w:p>
        </w:tc>
        <w:tc>
          <w:tcPr>
            <w:tcW w:w="2353" w:type="dxa"/>
            <w:tcMar>
              <w:left w:w="0" w:type="dxa"/>
              <w:right w:w="0" w:type="dxa"/>
            </w:tcMar>
            <w:vAlign w:val="center"/>
          </w:tcPr>
          <w:p>
            <w:pPr>
              <w:pStyle w:val="20"/>
            </w:pPr>
            <w:r>
              <w:rPr>
                <w:rFonts w:hint="eastAsia"/>
              </w:rPr>
              <w:t>电流</w:t>
            </w:r>
          </w:p>
        </w:tc>
        <w:tc>
          <w:tcPr>
            <w:tcW w:w="2353" w:type="dxa"/>
            <w:tcMar>
              <w:left w:w="0" w:type="dxa"/>
              <w:right w:w="0" w:type="dxa"/>
            </w:tcMar>
            <w:vAlign w:val="center"/>
          </w:tcPr>
          <w:p>
            <w:pPr>
              <w:pStyle w:val="20"/>
              <w:spacing w:before="80" w:afterLines="10"/>
              <w:rPr>
                <w:vertAlign w:val="subscript"/>
                <w:lang w:val="de-DE"/>
              </w:rPr>
            </w:pPr>
            <w:r>
              <w:rPr>
                <w:i/>
                <w:lang w:val="de-DE"/>
              </w:rPr>
              <w:t>I</w:t>
            </w:r>
            <w:r>
              <w:rPr>
                <w:rFonts w:hint="eastAsia"/>
                <w:vertAlign w:val="subscript"/>
                <w:lang w:val="de-DE"/>
              </w:rPr>
              <w:t>h</w:t>
            </w:r>
            <w:r>
              <w:rPr>
                <w:rFonts w:hint="eastAsia"/>
                <w:lang w:val="de-DE"/>
              </w:rPr>
              <w:t>≥</w:t>
            </w:r>
            <w:r>
              <w:rPr>
                <w:lang w:val="de-DE"/>
              </w:rPr>
              <w:t>3％</w:t>
            </w:r>
            <w:r>
              <w:rPr>
                <w:i/>
                <w:lang w:val="de-DE"/>
              </w:rPr>
              <w:t>I</w:t>
            </w:r>
            <w:r>
              <w:rPr>
                <w:rFonts w:hint="eastAsia"/>
                <w:vertAlign w:val="subscript"/>
                <w:lang w:val="de-DE"/>
              </w:rPr>
              <w:t>N</w:t>
            </w:r>
          </w:p>
          <w:p>
            <w:pPr>
              <w:pStyle w:val="20"/>
              <w:spacing w:before="0" w:after="80"/>
              <w:rPr>
                <w:lang w:val="de-DE"/>
              </w:rPr>
            </w:pPr>
            <w:r>
              <w:rPr>
                <w:i/>
                <w:lang w:val="de-DE"/>
              </w:rPr>
              <w:t>I</w:t>
            </w:r>
            <w:r>
              <w:rPr>
                <w:rFonts w:hint="eastAsia"/>
                <w:vertAlign w:val="subscript"/>
                <w:lang w:val="de-DE"/>
              </w:rPr>
              <w:t>h</w:t>
            </w:r>
            <w:r>
              <w:rPr>
                <w:rFonts w:hint="eastAsia"/>
                <w:lang w:val="de-DE"/>
              </w:rPr>
              <w:t>＜</w:t>
            </w:r>
            <w:r>
              <w:rPr>
                <w:lang w:val="de-DE"/>
              </w:rPr>
              <w:t>3％</w:t>
            </w:r>
            <w:r>
              <w:rPr>
                <w:i/>
                <w:lang w:val="de-DE"/>
              </w:rPr>
              <w:t>I</w:t>
            </w:r>
            <w:r>
              <w:rPr>
                <w:rFonts w:hint="eastAsia"/>
                <w:vertAlign w:val="subscript"/>
                <w:lang w:val="de-DE"/>
              </w:rPr>
              <w:t>N</w:t>
            </w:r>
          </w:p>
        </w:tc>
        <w:tc>
          <w:tcPr>
            <w:tcW w:w="2351" w:type="dxa"/>
            <w:tcMar>
              <w:left w:w="0" w:type="dxa"/>
              <w:right w:w="0" w:type="dxa"/>
            </w:tcMar>
            <w:vAlign w:val="center"/>
          </w:tcPr>
          <w:p>
            <w:pPr>
              <w:pStyle w:val="20"/>
              <w:spacing w:after="0"/>
              <w:rPr>
                <w:vertAlign w:val="subscript"/>
              </w:rPr>
            </w:pPr>
            <w:r>
              <w:t>5％</w:t>
            </w:r>
            <w:r>
              <w:rPr>
                <w:i/>
              </w:rPr>
              <w:t>I</w:t>
            </w:r>
            <w:r>
              <w:rPr>
                <w:rFonts w:hint="eastAsia"/>
                <w:vertAlign w:val="subscript"/>
              </w:rPr>
              <w:t>h</w:t>
            </w:r>
          </w:p>
          <w:p>
            <w:pPr>
              <w:pStyle w:val="20"/>
              <w:spacing w:before="0"/>
              <w:rPr>
                <w:lang w:val="fr-CA"/>
              </w:rPr>
            </w:pPr>
            <w:r>
              <w:rPr>
                <w:lang w:val="fr-CA"/>
              </w:rPr>
              <w:t>0.15％</w:t>
            </w:r>
            <w:r>
              <w:rPr>
                <w:i/>
                <w:lang w:val="fr-CA"/>
              </w:rPr>
              <w:t>I</w:t>
            </w:r>
            <w:r>
              <w:rPr>
                <w:rFonts w:hint="eastAsia"/>
                <w:vertAlign w:val="subscript"/>
                <w:lang w:val="fr-CA"/>
              </w:rPr>
              <w:t>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9" w:type="dxa"/>
            <w:vMerge w:val="restart"/>
            <w:tcMar>
              <w:left w:w="0" w:type="dxa"/>
              <w:right w:w="0" w:type="dxa"/>
            </w:tcMar>
            <w:vAlign w:val="center"/>
          </w:tcPr>
          <w:p>
            <w:pPr>
              <w:pStyle w:val="20"/>
            </w:pPr>
            <w:r>
              <w:rPr>
                <w:rFonts w:hint="eastAsia"/>
              </w:rPr>
              <w:t>B</w:t>
            </w:r>
          </w:p>
        </w:tc>
        <w:tc>
          <w:tcPr>
            <w:tcW w:w="2353" w:type="dxa"/>
            <w:tcMar>
              <w:left w:w="0" w:type="dxa"/>
              <w:right w:w="0" w:type="dxa"/>
            </w:tcMar>
            <w:vAlign w:val="center"/>
          </w:tcPr>
          <w:p>
            <w:pPr>
              <w:pStyle w:val="20"/>
              <w:rPr>
                <w:lang w:val="fr-CA"/>
              </w:rPr>
            </w:pPr>
            <w:r>
              <w:rPr>
                <w:rFonts w:hint="eastAsia"/>
                <w:lang w:val="fr-CA"/>
              </w:rPr>
              <w:t>电压</w:t>
            </w:r>
          </w:p>
        </w:tc>
        <w:tc>
          <w:tcPr>
            <w:tcW w:w="2353" w:type="dxa"/>
            <w:tcMar>
              <w:left w:w="0" w:type="dxa"/>
              <w:right w:w="0" w:type="dxa"/>
            </w:tcMar>
            <w:vAlign w:val="center"/>
          </w:tcPr>
          <w:p>
            <w:pPr>
              <w:pStyle w:val="20"/>
              <w:spacing w:before="80" w:afterLines="10"/>
              <w:rPr>
                <w:vertAlign w:val="subscript"/>
                <w:lang w:val="fr-CA"/>
              </w:rPr>
            </w:pPr>
            <w:r>
              <w:rPr>
                <w:rFonts w:hint="eastAsia"/>
                <w:i/>
                <w:lang w:val="fr-CA"/>
              </w:rPr>
              <w:t>U</w:t>
            </w:r>
            <w:r>
              <w:rPr>
                <w:rFonts w:hint="eastAsia"/>
                <w:vertAlign w:val="subscript"/>
                <w:lang w:val="fr-CA"/>
              </w:rPr>
              <w:t>h</w:t>
            </w:r>
            <w:r>
              <w:rPr>
                <w:rFonts w:hint="eastAsia"/>
                <w:lang w:val="fr-CA"/>
              </w:rPr>
              <w:t>≥3</w:t>
            </w:r>
            <w:r>
              <w:rPr>
                <w:lang w:val="fr-CA"/>
              </w:rPr>
              <w:t>％</w:t>
            </w:r>
            <w:r>
              <w:rPr>
                <w:rFonts w:hint="eastAsia"/>
                <w:i/>
                <w:lang w:val="fr-CA"/>
              </w:rPr>
              <w:t>U</w:t>
            </w:r>
            <w:r>
              <w:rPr>
                <w:rFonts w:hint="eastAsia"/>
                <w:vertAlign w:val="subscript"/>
                <w:lang w:val="fr-CA"/>
              </w:rPr>
              <w:t>N</w:t>
            </w:r>
          </w:p>
          <w:p>
            <w:pPr>
              <w:pStyle w:val="20"/>
              <w:spacing w:before="0" w:after="80"/>
              <w:rPr>
                <w:lang w:val="fr-CA"/>
              </w:rPr>
            </w:pPr>
            <w:r>
              <w:rPr>
                <w:rFonts w:hint="eastAsia"/>
                <w:i/>
                <w:lang w:val="fr-CA"/>
              </w:rPr>
              <w:t>U</w:t>
            </w:r>
            <w:r>
              <w:rPr>
                <w:rFonts w:hint="eastAsia"/>
                <w:vertAlign w:val="subscript"/>
                <w:lang w:val="fr-CA"/>
              </w:rPr>
              <w:t>h</w:t>
            </w:r>
            <w:r>
              <w:rPr>
                <w:rFonts w:hint="eastAsia"/>
                <w:lang w:val="fr-CA"/>
              </w:rPr>
              <w:t>＜3</w:t>
            </w:r>
            <w:r>
              <w:rPr>
                <w:lang w:val="fr-CA"/>
              </w:rPr>
              <w:t>％</w:t>
            </w:r>
            <w:r>
              <w:rPr>
                <w:i/>
                <w:lang w:val="fr-CA"/>
              </w:rPr>
              <w:t>U</w:t>
            </w:r>
            <w:r>
              <w:rPr>
                <w:rFonts w:hint="eastAsia"/>
                <w:vertAlign w:val="subscript"/>
                <w:lang w:val="fr-CA"/>
              </w:rPr>
              <w:t>N</w:t>
            </w:r>
          </w:p>
        </w:tc>
        <w:tc>
          <w:tcPr>
            <w:tcW w:w="2351" w:type="dxa"/>
            <w:tcMar>
              <w:left w:w="0" w:type="dxa"/>
              <w:right w:w="0" w:type="dxa"/>
            </w:tcMar>
            <w:vAlign w:val="center"/>
          </w:tcPr>
          <w:p>
            <w:pPr>
              <w:pStyle w:val="20"/>
              <w:spacing w:after="0"/>
              <w:rPr>
                <w:vertAlign w:val="subscript"/>
                <w:lang w:val="fr-CA"/>
              </w:rPr>
            </w:pPr>
            <w:r>
              <w:rPr>
                <w:lang w:val="fr-CA"/>
              </w:rPr>
              <w:t>5％</w:t>
            </w:r>
            <w:r>
              <w:rPr>
                <w:rFonts w:hint="eastAsia"/>
                <w:i/>
                <w:lang w:val="fr-CA"/>
              </w:rPr>
              <w:t>U</w:t>
            </w:r>
            <w:r>
              <w:rPr>
                <w:rFonts w:hint="eastAsia"/>
                <w:vertAlign w:val="subscript"/>
                <w:lang w:val="fr-CA"/>
              </w:rPr>
              <w:t>h</w:t>
            </w:r>
          </w:p>
          <w:p>
            <w:pPr>
              <w:pStyle w:val="20"/>
              <w:spacing w:before="0"/>
              <w:rPr>
                <w:lang w:val="fr-CA"/>
              </w:rPr>
            </w:pPr>
            <w:r>
              <w:rPr>
                <w:lang w:val="fr-CA"/>
              </w:rPr>
              <w:t>0</w:t>
            </w:r>
            <w:r>
              <w:rPr>
                <w:rFonts w:hint="eastAsia"/>
                <w:lang w:val="fr-CA"/>
              </w:rPr>
              <w:t>.1</w:t>
            </w:r>
            <w:r>
              <w:rPr>
                <w:lang w:val="fr-CA"/>
              </w:rPr>
              <w:t>5％</w:t>
            </w:r>
            <w:r>
              <w:rPr>
                <w:i/>
                <w:lang w:val="fr-CA"/>
              </w:rPr>
              <w:t>U</w:t>
            </w:r>
            <w:r>
              <w:rPr>
                <w:rFonts w:hint="eastAsia"/>
                <w:vertAlign w:val="subscript"/>
                <w:lang w:val="fr-CA"/>
              </w:rPr>
              <w:t>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69" w:type="dxa"/>
            <w:vMerge w:val="continue"/>
            <w:tcMar>
              <w:left w:w="0" w:type="dxa"/>
              <w:right w:w="0" w:type="dxa"/>
            </w:tcMar>
            <w:vAlign w:val="center"/>
          </w:tcPr>
          <w:p>
            <w:pPr>
              <w:pStyle w:val="20"/>
            </w:pPr>
          </w:p>
        </w:tc>
        <w:tc>
          <w:tcPr>
            <w:tcW w:w="2353" w:type="dxa"/>
            <w:tcMar>
              <w:left w:w="0" w:type="dxa"/>
              <w:right w:w="0" w:type="dxa"/>
            </w:tcMar>
            <w:vAlign w:val="center"/>
          </w:tcPr>
          <w:p>
            <w:pPr>
              <w:pStyle w:val="20"/>
              <w:rPr>
                <w:lang w:val="fr-CA"/>
              </w:rPr>
            </w:pPr>
            <w:r>
              <w:rPr>
                <w:rFonts w:hint="eastAsia"/>
              </w:rPr>
              <w:t>电流</w:t>
            </w:r>
          </w:p>
        </w:tc>
        <w:tc>
          <w:tcPr>
            <w:tcW w:w="2353" w:type="dxa"/>
            <w:tcMar>
              <w:left w:w="0" w:type="dxa"/>
              <w:right w:w="0" w:type="dxa"/>
            </w:tcMar>
            <w:vAlign w:val="center"/>
          </w:tcPr>
          <w:p>
            <w:pPr>
              <w:pStyle w:val="20"/>
              <w:spacing w:before="80" w:afterLines="10"/>
              <w:rPr>
                <w:lang w:val="de-DE"/>
              </w:rPr>
            </w:pPr>
            <w:r>
              <w:rPr>
                <w:i/>
                <w:lang w:val="de-DE"/>
              </w:rPr>
              <w:t>I</w:t>
            </w:r>
            <w:r>
              <w:rPr>
                <w:rFonts w:hint="eastAsia"/>
                <w:vertAlign w:val="subscript"/>
                <w:lang w:val="de-DE"/>
              </w:rPr>
              <w:t>h</w:t>
            </w:r>
            <w:r>
              <w:rPr>
                <w:rFonts w:hint="eastAsia"/>
                <w:lang w:val="de-DE"/>
              </w:rPr>
              <w:t>≥</w:t>
            </w:r>
            <w:r>
              <w:rPr>
                <w:lang w:val="de-DE"/>
              </w:rPr>
              <w:t>10％</w:t>
            </w:r>
            <w:r>
              <w:rPr>
                <w:i/>
                <w:lang w:val="de-DE"/>
              </w:rPr>
              <w:t>I</w:t>
            </w:r>
            <w:r>
              <w:rPr>
                <w:rFonts w:hint="eastAsia"/>
                <w:vertAlign w:val="subscript"/>
                <w:lang w:val="de-DE"/>
              </w:rPr>
              <w:t>N</w:t>
            </w:r>
          </w:p>
          <w:p>
            <w:pPr>
              <w:pStyle w:val="20"/>
              <w:spacing w:before="0" w:after="80"/>
              <w:rPr>
                <w:lang w:val="de-DE"/>
              </w:rPr>
            </w:pPr>
            <w:r>
              <w:rPr>
                <w:i/>
                <w:lang w:val="de-DE"/>
              </w:rPr>
              <w:t>I</w:t>
            </w:r>
            <w:r>
              <w:rPr>
                <w:rFonts w:hint="eastAsia"/>
                <w:vertAlign w:val="subscript"/>
                <w:lang w:val="de-DE"/>
              </w:rPr>
              <w:t>h</w:t>
            </w:r>
            <w:r>
              <w:rPr>
                <w:rFonts w:hint="eastAsia"/>
                <w:lang w:val="de-DE"/>
              </w:rPr>
              <w:t>＜</w:t>
            </w:r>
            <w:r>
              <w:rPr>
                <w:lang w:val="de-DE"/>
              </w:rPr>
              <w:t>10％</w:t>
            </w:r>
            <w:r>
              <w:rPr>
                <w:i/>
                <w:lang w:val="de-DE"/>
              </w:rPr>
              <w:t>I</w:t>
            </w:r>
            <w:r>
              <w:rPr>
                <w:rFonts w:hint="eastAsia"/>
                <w:vertAlign w:val="subscript"/>
                <w:lang w:val="de-DE"/>
              </w:rPr>
              <w:t>N</w:t>
            </w:r>
          </w:p>
        </w:tc>
        <w:tc>
          <w:tcPr>
            <w:tcW w:w="2351" w:type="dxa"/>
            <w:tcMar>
              <w:left w:w="0" w:type="dxa"/>
              <w:right w:w="0" w:type="dxa"/>
            </w:tcMar>
            <w:vAlign w:val="center"/>
          </w:tcPr>
          <w:p>
            <w:pPr>
              <w:pStyle w:val="20"/>
              <w:spacing w:after="0"/>
              <w:rPr>
                <w:lang w:val="fr-CA"/>
              </w:rPr>
            </w:pPr>
            <w:r>
              <w:rPr>
                <w:lang w:val="fr-CA"/>
              </w:rPr>
              <w:t>5％</w:t>
            </w:r>
            <w:r>
              <w:rPr>
                <w:i/>
                <w:lang w:val="fr-CA"/>
              </w:rPr>
              <w:t>I</w:t>
            </w:r>
            <w:r>
              <w:rPr>
                <w:rFonts w:hint="eastAsia"/>
                <w:vertAlign w:val="subscript"/>
                <w:lang w:val="fr-CA"/>
              </w:rPr>
              <w:t>h</w:t>
            </w:r>
          </w:p>
          <w:p>
            <w:pPr>
              <w:pStyle w:val="20"/>
              <w:spacing w:before="0"/>
              <w:rPr>
                <w:lang w:val="fr-CA"/>
              </w:rPr>
            </w:pPr>
            <w:r>
              <w:rPr>
                <w:lang w:val="fr-CA"/>
              </w:rPr>
              <w:t>0.5％</w:t>
            </w:r>
            <w:r>
              <w:rPr>
                <w:i/>
                <w:lang w:val="fr-CA"/>
              </w:rPr>
              <w:t>I</w:t>
            </w:r>
            <w:r>
              <w:rPr>
                <w:rFonts w:hint="eastAsia"/>
                <w:vertAlign w:val="subscript"/>
                <w:lang w:val="fr-CA"/>
              </w:rPr>
              <w:t>N</w:t>
            </w:r>
          </w:p>
        </w:tc>
      </w:tr>
      <w:bookmarkEnd w:id="44"/>
    </w:tbl>
    <w:p>
      <w:pPr>
        <w:spacing w:line="312" w:lineRule="exact"/>
        <w:ind w:firstLine="360" w:firstLineChars="200"/>
        <w:rPr>
          <w:color w:val="000000"/>
          <w:sz w:val="18"/>
          <w:szCs w:val="18"/>
          <w:lang w:val="fr-CA"/>
        </w:rPr>
      </w:pPr>
      <w:bookmarkStart w:id="65" w:name="_Toc250740466"/>
      <w:bookmarkStart w:id="66" w:name="_Toc252535470"/>
      <w:bookmarkStart w:id="67" w:name="_Toc250741116"/>
      <w:bookmarkStart w:id="68" w:name="_Toc250621613"/>
      <w:bookmarkStart w:id="69" w:name="_Toc250621499"/>
      <w:bookmarkStart w:id="70" w:name="_Toc250485456"/>
      <w:bookmarkStart w:id="71" w:name="_Toc250484025"/>
      <w:bookmarkStart w:id="72" w:name="_Toc247855649"/>
      <w:r>
        <w:rPr>
          <w:rFonts w:hint="eastAsia" w:ascii="黑体" w:hAnsi="宋体" w:eastAsia="黑体"/>
          <w:color w:val="000000"/>
          <w:sz w:val="18"/>
          <w:szCs w:val="18"/>
          <w:lang w:val="fr-CA"/>
        </w:rPr>
        <w:t xml:space="preserve">注  </w:t>
      </w:r>
      <w:r>
        <w:rPr>
          <w:rFonts w:hint="eastAsia" w:hAnsi="宋体"/>
          <w:color w:val="000000"/>
          <w:sz w:val="18"/>
          <w:szCs w:val="18"/>
          <w:lang w:val="en-GB"/>
        </w:rPr>
        <w:t>表中</w:t>
      </w:r>
      <w:r>
        <w:rPr>
          <w:i/>
          <w:sz w:val="18"/>
          <w:szCs w:val="18"/>
          <w:lang w:val="fr-CA"/>
        </w:rPr>
        <w:t>U</w:t>
      </w:r>
      <w:r>
        <w:rPr>
          <w:rFonts w:hint="eastAsia"/>
          <w:sz w:val="18"/>
          <w:szCs w:val="18"/>
          <w:vertAlign w:val="subscript"/>
          <w:lang w:val="fr-CA"/>
        </w:rPr>
        <w:t>N</w:t>
      </w:r>
      <w:r>
        <w:rPr>
          <w:rFonts w:hint="eastAsia"/>
          <w:sz w:val="18"/>
          <w:szCs w:val="18"/>
          <w:lang w:val="fr-CA"/>
        </w:rPr>
        <w:t>为</w:t>
      </w:r>
      <w:r>
        <w:rPr>
          <w:rFonts w:hint="eastAsia" w:hAnsi="宋体"/>
          <w:sz w:val="18"/>
          <w:szCs w:val="18"/>
          <w:lang w:val="fr-CA"/>
        </w:rPr>
        <w:t>标称电压，</w:t>
      </w:r>
      <w:r>
        <w:rPr>
          <w:i/>
          <w:sz w:val="18"/>
          <w:szCs w:val="18"/>
          <w:lang w:val="fr-CA"/>
        </w:rPr>
        <w:t>I</w:t>
      </w:r>
      <w:r>
        <w:rPr>
          <w:rFonts w:hint="eastAsia"/>
          <w:sz w:val="18"/>
          <w:szCs w:val="18"/>
          <w:vertAlign w:val="subscript"/>
          <w:lang w:val="fr-CA"/>
        </w:rPr>
        <w:t>N</w:t>
      </w:r>
      <w:r>
        <w:rPr>
          <w:rFonts w:hint="eastAsia" w:hAnsi="宋体"/>
          <w:sz w:val="18"/>
          <w:szCs w:val="18"/>
          <w:lang w:val="fr-CA"/>
        </w:rPr>
        <w:t>为额定电流，</w:t>
      </w:r>
      <w:r>
        <w:rPr>
          <w:rFonts w:hint="eastAsia"/>
          <w:i/>
          <w:sz w:val="18"/>
          <w:szCs w:val="18"/>
          <w:lang w:val="fr-CA"/>
        </w:rPr>
        <w:t>U</w:t>
      </w:r>
      <w:r>
        <w:rPr>
          <w:rFonts w:hint="eastAsia"/>
          <w:sz w:val="18"/>
          <w:szCs w:val="18"/>
          <w:vertAlign w:val="subscript"/>
          <w:lang w:val="fr-CA"/>
        </w:rPr>
        <w:t>h</w:t>
      </w:r>
      <w:r>
        <w:rPr>
          <w:rFonts w:hint="eastAsia" w:hAnsi="宋体"/>
          <w:sz w:val="18"/>
          <w:szCs w:val="18"/>
          <w:lang w:val="fr-CA"/>
        </w:rPr>
        <w:t>为谐波电压，</w:t>
      </w:r>
      <w:r>
        <w:rPr>
          <w:i/>
          <w:sz w:val="18"/>
          <w:szCs w:val="18"/>
          <w:lang w:val="fr-CA"/>
        </w:rPr>
        <w:t>I</w:t>
      </w:r>
      <w:r>
        <w:rPr>
          <w:rFonts w:hint="eastAsia"/>
          <w:sz w:val="18"/>
          <w:szCs w:val="18"/>
          <w:vertAlign w:val="subscript"/>
          <w:lang w:val="fr-CA"/>
        </w:rPr>
        <w:t>h</w:t>
      </w:r>
      <w:r>
        <w:rPr>
          <w:rFonts w:hint="eastAsia" w:hAnsi="宋体"/>
          <w:sz w:val="18"/>
          <w:szCs w:val="18"/>
          <w:lang w:val="fr-CA"/>
        </w:rPr>
        <w:t>为谐波电流。</w:t>
      </w:r>
    </w:p>
    <w:p>
      <w:pPr>
        <w:pStyle w:val="12"/>
        <w:rPr>
          <w:snapToGrid w:val="0"/>
          <w:kern w:val="0"/>
        </w:rPr>
      </w:pPr>
      <w:bookmarkStart w:id="73" w:name="_Toc256367589"/>
      <w:r>
        <w:rPr>
          <w:rFonts w:hint="eastAsia"/>
          <w:snapToGrid w:val="0"/>
          <w:kern w:val="0"/>
        </w:rPr>
        <w:t>3　</w:t>
      </w:r>
      <w:r>
        <w:rPr>
          <w:snapToGrid w:val="0"/>
          <w:kern w:val="0"/>
        </w:rPr>
        <w:t>试验</w:t>
      </w:r>
      <w:bookmarkEnd w:id="65"/>
      <w:bookmarkEnd w:id="66"/>
      <w:bookmarkEnd w:id="67"/>
      <w:bookmarkEnd w:id="68"/>
      <w:bookmarkEnd w:id="69"/>
      <w:bookmarkEnd w:id="70"/>
      <w:bookmarkEnd w:id="71"/>
      <w:bookmarkEnd w:id="72"/>
      <w:bookmarkEnd w:id="73"/>
    </w:p>
    <w:p>
      <w:pPr>
        <w:pStyle w:val="13"/>
        <w:rPr>
          <w:snapToGrid w:val="0"/>
          <w:kern w:val="0"/>
        </w:rPr>
      </w:pPr>
      <w:bookmarkStart w:id="74" w:name="_Toc256367590"/>
      <w:bookmarkStart w:id="75" w:name="_Toc252535471"/>
      <w:bookmarkStart w:id="76" w:name="_Toc250741117"/>
      <w:bookmarkStart w:id="77" w:name="_Toc250621500"/>
      <w:bookmarkStart w:id="78" w:name="_Toc250740467"/>
      <w:bookmarkStart w:id="79" w:name="_Toc250621614"/>
      <w:bookmarkStart w:id="80" w:name="_Toc250485457"/>
      <w:bookmarkStart w:id="81" w:name="_Toc250484026"/>
      <w:bookmarkStart w:id="82" w:name="_Toc247855650"/>
      <w:r>
        <w:rPr>
          <w:rFonts w:hint="eastAsia"/>
          <w:snapToGrid w:val="0"/>
          <w:kern w:val="0"/>
        </w:rPr>
        <w:t>3.1　试验要求</w:t>
      </w:r>
      <w:bookmarkEnd w:id="74"/>
      <w:bookmarkEnd w:id="75"/>
      <w:bookmarkEnd w:id="76"/>
      <w:bookmarkEnd w:id="77"/>
      <w:bookmarkEnd w:id="78"/>
      <w:bookmarkEnd w:id="79"/>
      <w:bookmarkEnd w:id="80"/>
      <w:bookmarkEnd w:id="81"/>
      <w:bookmarkEnd w:id="82"/>
    </w:p>
    <w:p>
      <w:pPr>
        <w:spacing w:line="312" w:lineRule="exact"/>
        <w:rPr>
          <w:color w:val="000000"/>
        </w:rPr>
      </w:pPr>
      <w:r>
        <w:rPr>
          <w:rStyle w:val="15"/>
          <w:rFonts w:hint="eastAsia"/>
        </w:rPr>
        <w:t>3.1.1</w:t>
      </w:r>
      <w:r>
        <w:rPr>
          <w:rFonts w:hint="eastAsia"/>
          <w:color w:val="000000"/>
        </w:rPr>
        <w:t xml:space="preserve">  </w:t>
      </w:r>
      <w:r>
        <w:rPr>
          <w:rFonts w:hint="eastAsia" w:hAnsi="宋体"/>
          <w:color w:val="000000"/>
        </w:rPr>
        <w:t>卖方提供的设备试验标准应符合</w:t>
      </w:r>
      <w:r>
        <w:rPr>
          <w:rFonts w:hint="eastAsia"/>
          <w:color w:val="000000"/>
        </w:rPr>
        <w:t>IEC</w:t>
      </w:r>
      <w:r>
        <w:rPr>
          <w:rFonts w:hint="eastAsia" w:hAnsi="宋体"/>
          <w:color w:val="000000"/>
        </w:rPr>
        <w:t>及国标、行标的有关规范，并提供型式试验、出厂试验及现场投运试验三种类型试验报告。</w:t>
      </w:r>
    </w:p>
    <w:p>
      <w:pPr>
        <w:spacing w:line="312" w:lineRule="exact"/>
        <w:rPr>
          <w:color w:val="000000"/>
        </w:rPr>
      </w:pPr>
      <w:r>
        <w:rPr>
          <w:rStyle w:val="15"/>
          <w:rFonts w:hint="eastAsia"/>
        </w:rPr>
        <w:t>3.1.2</w:t>
      </w:r>
      <w:r>
        <w:rPr>
          <w:color w:val="000000"/>
        </w:rPr>
        <w:t xml:space="preserve"> </w:t>
      </w:r>
      <w:r>
        <w:rPr>
          <w:rFonts w:hint="eastAsia"/>
          <w:color w:val="000000"/>
        </w:rPr>
        <w:t xml:space="preserve"> </w:t>
      </w:r>
      <w:r>
        <w:rPr>
          <w:rFonts w:hint="eastAsia" w:hAnsi="宋体"/>
          <w:color w:val="000000"/>
        </w:rPr>
        <w:t>卖方提供的每一种型式的产品都应提供型式试验报告和报告结论证明。</w:t>
      </w:r>
    </w:p>
    <w:p>
      <w:pPr>
        <w:spacing w:line="312" w:lineRule="exact"/>
        <w:rPr>
          <w:color w:val="000000"/>
        </w:rPr>
      </w:pPr>
      <w:r>
        <w:rPr>
          <w:rStyle w:val="15"/>
          <w:rFonts w:hint="eastAsia"/>
        </w:rPr>
        <w:t>3.1.3</w:t>
      </w:r>
      <w:r>
        <w:rPr>
          <w:rFonts w:hint="eastAsia"/>
          <w:color w:val="000000"/>
        </w:rPr>
        <w:t xml:space="preserve"> </w:t>
      </w:r>
      <w:r>
        <w:rPr>
          <w:color w:val="000000"/>
        </w:rPr>
        <w:t xml:space="preserve"> </w:t>
      </w:r>
      <w:r>
        <w:rPr>
          <w:rFonts w:hint="eastAsia" w:hAnsi="宋体"/>
          <w:color w:val="000000"/>
        </w:rPr>
        <w:t>卖方提供的每一套设备出厂之前都应按规范要求、国家和行业标准以及工厂规定的调试大纲进行出厂检查、性能试验，试验报告应随产品提供。</w:t>
      </w:r>
    </w:p>
    <w:p>
      <w:pPr>
        <w:pStyle w:val="13"/>
        <w:rPr>
          <w:snapToGrid w:val="0"/>
          <w:kern w:val="0"/>
        </w:rPr>
      </w:pPr>
      <w:bookmarkStart w:id="83" w:name="_Toc256367591"/>
      <w:bookmarkStart w:id="84" w:name="_Toc252535472"/>
      <w:bookmarkStart w:id="85" w:name="_Toc250741118"/>
      <w:bookmarkStart w:id="86" w:name="_Toc250740468"/>
      <w:bookmarkStart w:id="87" w:name="_Toc250621615"/>
      <w:bookmarkStart w:id="88" w:name="_Toc250621501"/>
      <w:bookmarkStart w:id="89" w:name="_Toc247855651"/>
      <w:bookmarkStart w:id="90" w:name="_Toc250485458"/>
      <w:bookmarkStart w:id="91" w:name="_Toc250484027"/>
      <w:r>
        <w:rPr>
          <w:rFonts w:hint="eastAsia"/>
          <w:snapToGrid w:val="0"/>
          <w:kern w:val="0"/>
        </w:rPr>
        <w:t>3.2　电气性能试验</w:t>
      </w:r>
      <w:bookmarkEnd w:id="83"/>
      <w:bookmarkEnd w:id="84"/>
      <w:bookmarkEnd w:id="85"/>
      <w:bookmarkEnd w:id="86"/>
      <w:bookmarkEnd w:id="87"/>
      <w:bookmarkEnd w:id="88"/>
      <w:bookmarkEnd w:id="89"/>
      <w:bookmarkEnd w:id="90"/>
      <w:bookmarkEnd w:id="91"/>
    </w:p>
    <w:p>
      <w:pPr>
        <w:spacing w:line="312" w:lineRule="exact"/>
        <w:rPr>
          <w:color w:val="000000"/>
        </w:rPr>
      </w:pPr>
      <w:r>
        <w:rPr>
          <w:rStyle w:val="15"/>
          <w:rFonts w:hint="eastAsia"/>
        </w:rPr>
        <w:t>3.2.1</w:t>
      </w:r>
      <w:r>
        <w:rPr>
          <w:rFonts w:hint="eastAsia"/>
          <w:color w:val="000000"/>
        </w:rPr>
        <w:t xml:space="preserve">  </w:t>
      </w:r>
      <w:r>
        <w:rPr>
          <w:rFonts w:hint="eastAsia" w:hAnsi="宋体"/>
          <w:color w:val="000000"/>
        </w:rPr>
        <w:t>装置内部所有元器件性能正确性试验及所有接线正确性试验。</w:t>
      </w:r>
    </w:p>
    <w:p>
      <w:pPr>
        <w:spacing w:line="312" w:lineRule="exact"/>
        <w:rPr>
          <w:color w:val="000000"/>
        </w:rPr>
      </w:pPr>
      <w:r>
        <w:rPr>
          <w:rStyle w:val="15"/>
          <w:rFonts w:hint="eastAsia"/>
        </w:rPr>
        <w:t>3.2.2</w:t>
      </w:r>
      <w:r>
        <w:rPr>
          <w:rFonts w:hint="eastAsia"/>
          <w:color w:val="000000"/>
        </w:rPr>
        <w:t xml:space="preserve">  </w:t>
      </w:r>
      <w:r>
        <w:rPr>
          <w:rFonts w:hint="eastAsia" w:hAnsi="宋体"/>
          <w:color w:val="000000"/>
        </w:rPr>
        <w:t>模拟实际情况进行连续通电</w:t>
      </w:r>
      <w:r>
        <w:rPr>
          <w:rFonts w:hint="eastAsia"/>
          <w:color w:val="000000"/>
        </w:rPr>
        <w:t>，</w:t>
      </w:r>
      <w:r>
        <w:rPr>
          <w:rFonts w:hint="eastAsia" w:hAnsi="宋体"/>
          <w:color w:val="000000"/>
        </w:rPr>
        <w:t>包括交流电流、电压、直流电源的试验。</w:t>
      </w:r>
    </w:p>
    <w:p>
      <w:pPr>
        <w:spacing w:line="312" w:lineRule="exact"/>
        <w:rPr>
          <w:color w:val="000000"/>
        </w:rPr>
      </w:pPr>
      <w:r>
        <w:rPr>
          <w:rStyle w:val="15"/>
          <w:rFonts w:hint="eastAsia"/>
        </w:rPr>
        <w:t>3.2.3</w:t>
      </w:r>
      <w:r>
        <w:rPr>
          <w:rFonts w:hint="eastAsia"/>
          <w:color w:val="000000"/>
        </w:rPr>
        <w:t xml:space="preserve">  </w:t>
      </w:r>
      <w:r>
        <w:rPr>
          <w:rFonts w:hint="eastAsia" w:hAnsi="宋体"/>
          <w:color w:val="000000"/>
        </w:rPr>
        <w:t>每个回路</w:t>
      </w:r>
      <w:r>
        <w:rPr>
          <w:color w:val="000000"/>
        </w:rPr>
        <w:t>（</w:t>
      </w:r>
      <w:r>
        <w:rPr>
          <w:rFonts w:hint="eastAsia" w:hAnsi="宋体"/>
          <w:color w:val="000000"/>
        </w:rPr>
        <w:t>除弱电回路外</w:t>
      </w:r>
      <w:r>
        <w:rPr>
          <w:color w:val="000000"/>
        </w:rPr>
        <w:t>）</w:t>
      </w:r>
      <w:r>
        <w:rPr>
          <w:rFonts w:hint="eastAsia" w:hAnsi="宋体"/>
          <w:color w:val="000000"/>
        </w:rPr>
        <w:t>应进行工频</w:t>
      </w:r>
      <w:r>
        <w:rPr>
          <w:rFonts w:hint="eastAsia"/>
          <w:color w:val="000000"/>
        </w:rPr>
        <w:t>2000V</w:t>
      </w:r>
      <w:r>
        <w:rPr>
          <w:rFonts w:hint="eastAsia" w:hAnsi="宋体"/>
          <w:color w:val="000000"/>
        </w:rPr>
        <w:t>、</w:t>
      </w:r>
      <w:r>
        <w:rPr>
          <w:rFonts w:hint="eastAsia"/>
          <w:color w:val="000000"/>
        </w:rPr>
        <w:t>1</w:t>
      </w:r>
      <w:r>
        <w:rPr>
          <w:rFonts w:hint="eastAsia" w:hAnsi="宋体"/>
          <w:color w:val="000000"/>
        </w:rPr>
        <w:t>min耐压试验。</w:t>
      </w:r>
    </w:p>
    <w:p>
      <w:pPr>
        <w:pStyle w:val="13"/>
        <w:rPr>
          <w:snapToGrid w:val="0"/>
          <w:kern w:val="0"/>
        </w:rPr>
      </w:pPr>
      <w:bookmarkStart w:id="92" w:name="_Toc256367592"/>
      <w:bookmarkStart w:id="93" w:name="_Toc252535473"/>
      <w:bookmarkStart w:id="94" w:name="_Toc250621616"/>
      <w:bookmarkStart w:id="95" w:name="_Toc250741119"/>
      <w:bookmarkStart w:id="96" w:name="_Toc250740469"/>
      <w:bookmarkStart w:id="97" w:name="_Toc250621502"/>
      <w:bookmarkStart w:id="98" w:name="_Toc250485459"/>
      <w:bookmarkStart w:id="99" w:name="_Toc250484028"/>
      <w:bookmarkStart w:id="100" w:name="_Toc247855652"/>
      <w:r>
        <w:rPr>
          <w:rFonts w:hint="eastAsia"/>
          <w:snapToGrid w:val="0"/>
          <w:kern w:val="0"/>
        </w:rPr>
        <w:t>3.3　现场试验</w:t>
      </w:r>
      <w:bookmarkEnd w:id="92"/>
      <w:bookmarkEnd w:id="93"/>
      <w:bookmarkEnd w:id="94"/>
      <w:bookmarkEnd w:id="95"/>
      <w:bookmarkEnd w:id="96"/>
      <w:bookmarkEnd w:id="97"/>
      <w:bookmarkEnd w:id="98"/>
      <w:bookmarkEnd w:id="99"/>
      <w:bookmarkEnd w:id="100"/>
    </w:p>
    <w:p>
      <w:pPr>
        <w:spacing w:line="312" w:lineRule="exact"/>
        <w:ind w:firstLine="428" w:firstLineChars="200"/>
        <w:rPr>
          <w:color w:val="000000"/>
          <w:spacing w:val="2"/>
          <w:kern w:val="21"/>
          <w:szCs w:val="21"/>
        </w:rPr>
      </w:pPr>
      <w:r>
        <w:rPr>
          <w:rFonts w:hint="eastAsia" w:hAnsi="宋体"/>
          <w:color w:val="000000"/>
          <w:spacing w:val="2"/>
          <w:kern w:val="21"/>
          <w:szCs w:val="21"/>
        </w:rPr>
        <w:t>现场实际设备接入后，在一次设备不带电和带电试运行时还应作测试验收，卖方应负责</w:t>
      </w:r>
      <w:r>
        <w:rPr>
          <w:rFonts w:hint="eastAsia" w:hAnsi="宋体"/>
          <w:spacing w:val="2"/>
          <w:szCs w:val="21"/>
        </w:rPr>
        <w:t>电能质量在线监测装置</w:t>
      </w:r>
      <w:r>
        <w:rPr>
          <w:rFonts w:hint="eastAsia" w:hAnsi="宋体"/>
          <w:color w:val="000000"/>
          <w:spacing w:val="2"/>
          <w:kern w:val="21"/>
          <w:szCs w:val="21"/>
        </w:rPr>
        <w:t>的现场调试及投运试验。现场投运前和试运行中发现的设备缺陷和元件损坏</w:t>
      </w:r>
      <w:r>
        <w:rPr>
          <w:color w:val="000000"/>
          <w:spacing w:val="2"/>
          <w:kern w:val="21"/>
          <w:szCs w:val="21"/>
        </w:rPr>
        <w:t>，</w:t>
      </w:r>
      <w:r>
        <w:rPr>
          <w:rFonts w:hint="eastAsia" w:hAnsi="宋体"/>
          <w:color w:val="000000"/>
          <w:spacing w:val="2"/>
          <w:kern w:val="21"/>
          <w:szCs w:val="21"/>
        </w:rPr>
        <w:t>卖方应及时无偿修理或更换，直至符合规范要求。保修期内产品出现不符合功能要求和技术指标要求，卖方亦应负责。</w:t>
      </w:r>
    </w:p>
    <w:p>
      <w:pPr>
        <w:pStyle w:val="12"/>
        <w:rPr>
          <w:snapToGrid w:val="0"/>
          <w:kern w:val="0"/>
        </w:rPr>
      </w:pPr>
      <w:bookmarkStart w:id="101" w:name="_Toc256367593"/>
      <w:bookmarkStart w:id="102" w:name="_Toc252535474"/>
      <w:bookmarkStart w:id="103" w:name="_Toc250741120"/>
      <w:bookmarkStart w:id="104" w:name="_Toc250621617"/>
      <w:bookmarkStart w:id="105" w:name="_Toc250740470"/>
      <w:bookmarkStart w:id="106" w:name="_Toc250621503"/>
      <w:bookmarkStart w:id="107" w:name="_Toc250485460"/>
      <w:bookmarkStart w:id="108" w:name="_Toc250484029"/>
      <w:r>
        <w:rPr>
          <w:rFonts w:hint="eastAsia"/>
          <w:snapToGrid w:val="0"/>
          <w:kern w:val="0"/>
        </w:rPr>
        <w:t>4　</w:t>
      </w:r>
      <w:r>
        <w:rPr>
          <w:snapToGrid w:val="0"/>
          <w:kern w:val="0"/>
        </w:rPr>
        <w:t>技术服务、设计联络、工厂检验和监造</w:t>
      </w:r>
      <w:bookmarkEnd w:id="101"/>
      <w:bookmarkEnd w:id="102"/>
      <w:bookmarkEnd w:id="103"/>
      <w:bookmarkEnd w:id="104"/>
      <w:bookmarkEnd w:id="105"/>
      <w:bookmarkEnd w:id="106"/>
      <w:bookmarkEnd w:id="107"/>
      <w:bookmarkEnd w:id="108"/>
    </w:p>
    <w:p>
      <w:pPr>
        <w:pStyle w:val="13"/>
        <w:rPr>
          <w:snapToGrid w:val="0"/>
          <w:kern w:val="0"/>
        </w:rPr>
      </w:pPr>
      <w:bookmarkStart w:id="109" w:name="_Toc250484030"/>
      <w:bookmarkStart w:id="110" w:name="_Toc250485461"/>
      <w:bookmarkStart w:id="111" w:name="_Toc250621504"/>
      <w:bookmarkStart w:id="112" w:name="_Toc250621618"/>
      <w:bookmarkStart w:id="113" w:name="_Toc250740471"/>
      <w:bookmarkStart w:id="114" w:name="_Toc250741121"/>
      <w:bookmarkStart w:id="115" w:name="_Toc252535475"/>
      <w:bookmarkStart w:id="116" w:name="_Toc256367594"/>
      <w:bookmarkStart w:id="117" w:name="_Toc178439786"/>
      <w:r>
        <w:rPr>
          <w:rFonts w:hint="eastAsia"/>
          <w:snapToGrid w:val="0"/>
          <w:kern w:val="0"/>
        </w:rPr>
        <w:t>4.1　卖方提供的样本和资料</w:t>
      </w:r>
      <w:bookmarkEnd w:id="109"/>
      <w:bookmarkEnd w:id="110"/>
      <w:bookmarkEnd w:id="111"/>
      <w:bookmarkEnd w:id="112"/>
      <w:bookmarkEnd w:id="113"/>
      <w:bookmarkEnd w:id="114"/>
      <w:bookmarkEnd w:id="115"/>
      <w:bookmarkEnd w:id="116"/>
    </w:p>
    <w:p>
      <w:pPr>
        <w:spacing w:line="312" w:lineRule="exact"/>
        <w:ind w:firstLine="420" w:firstLineChars="200"/>
        <w:rPr>
          <w:color w:val="000000"/>
          <w:kern w:val="21"/>
        </w:rPr>
      </w:pPr>
      <w:r>
        <w:rPr>
          <w:rFonts w:hint="eastAsia" w:hAnsi="宋体"/>
          <w:color w:val="000000"/>
          <w:kern w:val="21"/>
        </w:rPr>
        <w:t>卖方应在报价书中提供与本规范有关的样本，</w:t>
      </w:r>
      <w:r>
        <w:rPr>
          <w:rFonts w:hint="eastAsia" w:hAnsi="宋体"/>
          <w:color w:val="000000"/>
        </w:rPr>
        <w:t>其中包括</w:t>
      </w:r>
      <w:r>
        <w:rPr>
          <w:rFonts w:hint="eastAsia" w:hAnsi="宋体"/>
          <w:szCs w:val="21"/>
        </w:rPr>
        <w:t>电能质量在线监测装置</w:t>
      </w:r>
      <w:r>
        <w:rPr>
          <w:rFonts w:hint="eastAsia" w:hAnsi="宋体"/>
          <w:color w:val="000000"/>
        </w:rPr>
        <w:t>、标准部件等，</w:t>
      </w:r>
      <w:r>
        <w:rPr>
          <w:rFonts w:hint="eastAsia" w:hAnsi="宋体"/>
          <w:color w:val="000000"/>
          <w:kern w:val="21"/>
        </w:rPr>
        <w:t>以备买方查核，样本中还应包括各种额定值数据、各元件性能、功率消耗</w:t>
      </w:r>
      <w:r>
        <w:rPr>
          <w:color w:val="000000"/>
          <w:kern w:val="21"/>
        </w:rPr>
        <w:t>（</w:t>
      </w:r>
      <w:r>
        <w:rPr>
          <w:rFonts w:hint="eastAsia" w:hAnsi="宋体"/>
          <w:color w:val="000000"/>
          <w:kern w:val="21"/>
        </w:rPr>
        <w:t>包括交流及直流回路</w:t>
      </w:r>
      <w:r>
        <w:rPr>
          <w:color w:val="000000"/>
          <w:kern w:val="21"/>
        </w:rPr>
        <w:t>）</w:t>
      </w:r>
      <w:r>
        <w:rPr>
          <w:rFonts w:hint="eastAsia" w:hAnsi="宋体"/>
          <w:color w:val="000000"/>
          <w:kern w:val="21"/>
        </w:rPr>
        <w:t>及使用说明等必需的资料。卖方还应提供装置运行及改进情况说明。</w:t>
      </w:r>
    </w:p>
    <w:p>
      <w:pPr>
        <w:pStyle w:val="13"/>
        <w:rPr>
          <w:snapToGrid w:val="0"/>
          <w:kern w:val="0"/>
        </w:rPr>
      </w:pPr>
      <w:bookmarkStart w:id="118" w:name="_Toc247855655"/>
      <w:bookmarkStart w:id="119" w:name="_Toc250484031"/>
      <w:bookmarkStart w:id="120" w:name="_Toc250485462"/>
      <w:bookmarkStart w:id="121" w:name="_Toc250621505"/>
      <w:bookmarkStart w:id="122" w:name="_Toc250621619"/>
      <w:bookmarkStart w:id="123" w:name="_Toc250740472"/>
      <w:bookmarkStart w:id="124" w:name="_Toc250741122"/>
      <w:bookmarkStart w:id="125" w:name="_Toc252535476"/>
      <w:bookmarkStart w:id="126" w:name="_Toc256367595"/>
      <w:r>
        <w:rPr>
          <w:rFonts w:hint="eastAsia"/>
          <w:snapToGrid w:val="0"/>
          <w:kern w:val="0"/>
        </w:rPr>
        <w:t>4</w:t>
      </w:r>
      <w:r>
        <w:rPr>
          <w:snapToGrid w:val="0"/>
          <w:kern w:val="0"/>
        </w:rPr>
        <w:t>.2</w:t>
      </w:r>
      <w:r>
        <w:rPr>
          <w:rFonts w:hint="eastAsia"/>
          <w:snapToGrid w:val="0"/>
          <w:kern w:val="0"/>
        </w:rPr>
        <w:t>　技术资料、图纸和说明书格式</w:t>
      </w:r>
      <w:bookmarkEnd w:id="118"/>
      <w:bookmarkEnd w:id="119"/>
      <w:bookmarkEnd w:id="120"/>
      <w:bookmarkEnd w:id="121"/>
      <w:bookmarkEnd w:id="122"/>
      <w:bookmarkEnd w:id="123"/>
      <w:bookmarkEnd w:id="124"/>
      <w:bookmarkEnd w:id="125"/>
      <w:bookmarkEnd w:id="126"/>
    </w:p>
    <w:p>
      <w:pPr>
        <w:spacing w:line="312" w:lineRule="exact"/>
        <w:rPr>
          <w:color w:val="000000"/>
        </w:rPr>
      </w:pPr>
      <w:r>
        <w:rPr>
          <w:rStyle w:val="15"/>
          <w:rFonts w:hint="eastAsia"/>
        </w:rPr>
        <w:t>4</w:t>
      </w:r>
      <w:r>
        <w:rPr>
          <w:rStyle w:val="15"/>
        </w:rPr>
        <w:t>.2.1</w:t>
      </w:r>
      <w:r>
        <w:rPr>
          <w:color w:val="000000"/>
        </w:rPr>
        <w:t xml:space="preserve">  </w:t>
      </w:r>
      <w:r>
        <w:rPr>
          <w:rFonts w:hint="eastAsia" w:hAnsi="宋体"/>
          <w:color w:val="000000"/>
        </w:rPr>
        <w:t>全部图纸应为</w:t>
      </w:r>
      <w:r>
        <w:rPr>
          <w:color w:val="000000"/>
        </w:rPr>
        <w:t>A</w:t>
      </w:r>
      <w:r>
        <w:rPr>
          <w:rFonts w:hint="eastAsia"/>
          <w:color w:val="000000"/>
        </w:rPr>
        <w:t>4</w:t>
      </w:r>
      <w:r>
        <w:rPr>
          <w:rFonts w:hint="eastAsia" w:hAnsi="宋体"/>
          <w:color w:val="000000"/>
        </w:rPr>
        <w:t>幅面，并有完整图标，采用国标单位制。图中字体不得小于</w:t>
      </w:r>
      <w:r>
        <w:rPr>
          <w:color w:val="000000"/>
        </w:rPr>
        <w:t>3mm</w:t>
      </w:r>
      <w:r>
        <w:rPr>
          <w:rFonts w:hint="eastAsia" w:hAnsi="宋体"/>
          <w:color w:val="000000"/>
        </w:rPr>
        <w:t>。</w:t>
      </w:r>
    </w:p>
    <w:p>
      <w:pPr>
        <w:spacing w:line="312" w:lineRule="exact"/>
        <w:rPr>
          <w:color w:val="FF0000"/>
        </w:rPr>
      </w:pPr>
      <w:r>
        <w:rPr>
          <w:rStyle w:val="15"/>
          <w:rFonts w:hint="eastAsia"/>
        </w:rPr>
        <w:t>4</w:t>
      </w:r>
      <w:r>
        <w:rPr>
          <w:rStyle w:val="15"/>
        </w:rPr>
        <w:t>.2.2</w:t>
      </w:r>
      <w:r>
        <w:rPr>
          <w:color w:val="000000"/>
        </w:rPr>
        <w:t xml:space="preserve">  </w:t>
      </w:r>
      <w:r>
        <w:rPr>
          <w:rFonts w:hint="eastAsia" w:hAnsi="宋体"/>
          <w:color w:val="000000"/>
        </w:rPr>
        <w:t>提供最终修改图的电子文档</w:t>
      </w:r>
      <w:r>
        <w:rPr>
          <w:rFonts w:hint="eastAsia" w:hAnsi="宋体"/>
          <w:color w:val="000000"/>
          <w:spacing w:val="-2"/>
        </w:rPr>
        <w:t>。</w:t>
      </w:r>
    </w:p>
    <w:p>
      <w:pPr>
        <w:pStyle w:val="13"/>
        <w:rPr>
          <w:snapToGrid w:val="0"/>
          <w:kern w:val="0"/>
        </w:rPr>
      </w:pPr>
      <w:bookmarkStart w:id="127" w:name="_Toc247855656"/>
      <w:bookmarkStart w:id="128" w:name="_Toc250484032"/>
      <w:bookmarkStart w:id="129" w:name="_Toc250485463"/>
      <w:bookmarkStart w:id="130" w:name="_Toc250621506"/>
      <w:bookmarkStart w:id="131" w:name="_Toc250621620"/>
      <w:bookmarkStart w:id="132" w:name="_Toc250740473"/>
      <w:bookmarkStart w:id="133" w:name="_Toc250741123"/>
      <w:bookmarkStart w:id="134" w:name="_Toc252535477"/>
      <w:bookmarkStart w:id="135" w:name="_Toc256367596"/>
      <w:r>
        <w:rPr>
          <w:rFonts w:hint="eastAsia"/>
          <w:snapToGrid w:val="0"/>
          <w:kern w:val="0"/>
        </w:rPr>
        <w:t>4</w:t>
      </w:r>
      <w:r>
        <w:rPr>
          <w:snapToGrid w:val="0"/>
          <w:kern w:val="0"/>
        </w:rPr>
        <w:t>.3</w:t>
      </w:r>
      <w:r>
        <w:rPr>
          <w:rFonts w:hint="eastAsia"/>
          <w:snapToGrid w:val="0"/>
          <w:kern w:val="0"/>
        </w:rPr>
        <w:t>　供确认的图纸</w:t>
      </w:r>
      <w:bookmarkEnd w:id="127"/>
      <w:bookmarkEnd w:id="128"/>
      <w:bookmarkEnd w:id="129"/>
      <w:bookmarkEnd w:id="130"/>
      <w:bookmarkEnd w:id="131"/>
      <w:bookmarkEnd w:id="132"/>
      <w:bookmarkEnd w:id="133"/>
      <w:bookmarkEnd w:id="134"/>
      <w:bookmarkEnd w:id="135"/>
    </w:p>
    <w:p>
      <w:pPr>
        <w:spacing w:line="312" w:lineRule="exact"/>
        <w:ind w:firstLine="420" w:firstLineChars="200"/>
        <w:rPr>
          <w:color w:val="000000"/>
          <w:kern w:val="21"/>
        </w:rPr>
      </w:pPr>
      <w:r>
        <w:rPr>
          <w:rFonts w:hint="eastAsia" w:hAnsi="宋体"/>
          <w:color w:val="000000"/>
          <w:kern w:val="21"/>
        </w:rPr>
        <w:t>在合同签字后</w:t>
      </w:r>
      <w:r>
        <w:rPr>
          <w:rFonts w:hint="eastAsia"/>
          <w:color w:val="000000"/>
          <w:kern w:val="21"/>
        </w:rPr>
        <w:t>2</w:t>
      </w:r>
      <w:r>
        <w:rPr>
          <w:rFonts w:hint="eastAsia" w:hAnsi="宋体"/>
          <w:color w:val="000000"/>
          <w:kern w:val="21"/>
        </w:rPr>
        <w:t>周内，卖方应以快件方式提供供确认和了解的资料和图纸如下：</w:t>
      </w:r>
    </w:p>
    <w:p>
      <w:pPr>
        <w:spacing w:line="312" w:lineRule="exact"/>
        <w:ind w:firstLine="420" w:firstLineChars="200"/>
        <w:rPr>
          <w:color w:val="000000"/>
        </w:rPr>
      </w:pPr>
      <w:r>
        <w:rPr>
          <w:rFonts w:hint="eastAsia"/>
          <w:color w:val="000000"/>
        </w:rPr>
        <w:t xml:space="preserve">1） </w:t>
      </w:r>
      <w:r>
        <w:rPr>
          <w:rFonts w:hint="eastAsia" w:hAnsi="宋体"/>
          <w:color w:val="000000"/>
        </w:rPr>
        <w:t>电能质量监测柜屏面布置图及图例符号说明和所有元件技术参数表。</w:t>
      </w:r>
    </w:p>
    <w:p>
      <w:pPr>
        <w:spacing w:line="312" w:lineRule="exact"/>
        <w:ind w:firstLine="420" w:firstLineChars="200"/>
        <w:rPr>
          <w:color w:val="000000"/>
        </w:rPr>
      </w:pPr>
      <w:r>
        <w:rPr>
          <w:rFonts w:hint="eastAsia"/>
          <w:color w:val="000000"/>
        </w:rPr>
        <w:t xml:space="preserve">2） </w:t>
      </w:r>
      <w:r>
        <w:rPr>
          <w:rFonts w:hint="eastAsia" w:hAnsi="宋体"/>
          <w:color w:val="000000"/>
        </w:rPr>
        <w:t>电能质量监测柜背面接线图。</w:t>
      </w:r>
    </w:p>
    <w:p>
      <w:pPr>
        <w:spacing w:line="312" w:lineRule="exact"/>
        <w:ind w:firstLine="420" w:firstLineChars="200"/>
        <w:rPr>
          <w:color w:val="000000"/>
        </w:rPr>
      </w:pPr>
      <w:r>
        <w:rPr>
          <w:rFonts w:hint="eastAsia"/>
          <w:color w:val="000000"/>
        </w:rPr>
        <w:t xml:space="preserve">3） </w:t>
      </w:r>
      <w:r>
        <w:rPr>
          <w:rFonts w:hint="eastAsia" w:hAnsi="宋体"/>
          <w:color w:val="000000"/>
        </w:rPr>
        <w:t>装置的方框原理图及其说明。</w:t>
      </w:r>
    </w:p>
    <w:p>
      <w:pPr>
        <w:spacing w:line="312" w:lineRule="exact"/>
        <w:ind w:firstLine="420" w:firstLineChars="200"/>
        <w:rPr>
          <w:color w:val="000000"/>
          <w:kern w:val="21"/>
        </w:rPr>
      </w:pPr>
      <w:r>
        <w:rPr>
          <w:rFonts w:hint="eastAsia" w:hAnsi="宋体"/>
          <w:color w:val="000000"/>
          <w:kern w:val="21"/>
        </w:rPr>
        <w:t>买方有权要求卖方对设备部件按合同做出修改而不发生任何额外费用。买方确认图纸时间未影响卖方交货进度的前提下，在收到买方最终确认图之前采购或制造时的材料应由卖方承担全部风险和费用。</w:t>
      </w:r>
    </w:p>
    <w:p>
      <w:pPr>
        <w:pStyle w:val="13"/>
        <w:rPr>
          <w:snapToGrid w:val="0"/>
          <w:kern w:val="0"/>
        </w:rPr>
      </w:pPr>
      <w:bookmarkStart w:id="136" w:name="_Toc247855657"/>
      <w:bookmarkStart w:id="137" w:name="_Toc250484033"/>
      <w:bookmarkStart w:id="138" w:name="_Toc250485464"/>
      <w:bookmarkStart w:id="139" w:name="_Toc250621507"/>
      <w:bookmarkStart w:id="140" w:name="_Toc250621621"/>
      <w:bookmarkStart w:id="141" w:name="_Toc250740474"/>
      <w:bookmarkStart w:id="142" w:name="_Toc250741124"/>
      <w:bookmarkStart w:id="143" w:name="_Toc252535478"/>
      <w:bookmarkStart w:id="144" w:name="_Toc256367597"/>
      <w:r>
        <w:rPr>
          <w:rFonts w:hint="eastAsia"/>
          <w:snapToGrid w:val="0"/>
          <w:kern w:val="0"/>
        </w:rPr>
        <w:t>4</w:t>
      </w:r>
      <w:r>
        <w:rPr>
          <w:snapToGrid w:val="0"/>
          <w:kern w:val="0"/>
        </w:rPr>
        <w:t>.4</w:t>
      </w:r>
      <w:r>
        <w:rPr>
          <w:rFonts w:hint="eastAsia"/>
          <w:snapToGrid w:val="0"/>
          <w:kern w:val="0"/>
        </w:rPr>
        <w:t>　买卖双方设计的图纸</w:t>
      </w:r>
      <w:bookmarkEnd w:id="136"/>
      <w:bookmarkEnd w:id="137"/>
      <w:bookmarkEnd w:id="138"/>
      <w:bookmarkEnd w:id="139"/>
      <w:bookmarkEnd w:id="140"/>
      <w:bookmarkEnd w:id="141"/>
      <w:bookmarkEnd w:id="142"/>
      <w:bookmarkEnd w:id="143"/>
      <w:bookmarkEnd w:id="144"/>
    </w:p>
    <w:p>
      <w:pPr>
        <w:spacing w:line="312" w:lineRule="exact"/>
        <w:ind w:firstLine="420" w:firstLineChars="200"/>
        <w:rPr>
          <w:color w:val="000000"/>
          <w:kern w:val="21"/>
        </w:rPr>
      </w:pPr>
      <w:r>
        <w:rPr>
          <w:rFonts w:hint="eastAsia" w:hAnsi="宋体"/>
          <w:color w:val="000000"/>
          <w:kern w:val="21"/>
        </w:rPr>
        <w:t>卖方在联络会议后的</w:t>
      </w:r>
      <w:r>
        <w:rPr>
          <w:rFonts w:hint="eastAsia"/>
          <w:color w:val="000000"/>
          <w:kern w:val="21"/>
        </w:rPr>
        <w:t>2</w:t>
      </w:r>
      <w:r>
        <w:rPr>
          <w:rFonts w:hint="eastAsia" w:hAnsi="宋体"/>
          <w:color w:val="000000"/>
          <w:kern w:val="21"/>
        </w:rPr>
        <w:t>周内，应提供经过联络会议修改后的全部正式图纸及资料，供买方设计。经过设计联络会议修改后的全部正式图纸及资料如下：</w:t>
      </w:r>
    </w:p>
    <w:p>
      <w:pPr>
        <w:spacing w:line="312" w:lineRule="exact"/>
        <w:ind w:firstLine="420" w:firstLineChars="200"/>
        <w:rPr>
          <w:color w:val="000000"/>
        </w:rPr>
      </w:pPr>
      <w:r>
        <w:rPr>
          <w:rFonts w:hint="eastAsia"/>
          <w:color w:val="000000"/>
        </w:rPr>
        <w:t>1</w:t>
      </w:r>
      <w:r>
        <w:rPr>
          <w:rFonts w:hint="eastAsia" w:hAnsi="宋体"/>
          <w:color w:val="000000"/>
        </w:rPr>
        <w:t>）</w:t>
      </w:r>
      <w:r>
        <w:rPr>
          <w:rFonts w:hint="eastAsia"/>
          <w:color w:val="000000"/>
        </w:rPr>
        <w:t xml:space="preserve"> </w:t>
      </w:r>
      <w:r>
        <w:rPr>
          <w:rFonts w:hint="eastAsia" w:hAnsi="宋体"/>
          <w:color w:val="000000"/>
        </w:rPr>
        <w:t>电能质量监测装置各个部件的内部接线图和图例符号说明。</w:t>
      </w:r>
    </w:p>
    <w:p>
      <w:pPr>
        <w:spacing w:line="312" w:lineRule="exact"/>
        <w:ind w:firstLine="420" w:firstLineChars="200"/>
        <w:rPr>
          <w:color w:val="000000"/>
        </w:rPr>
      </w:pPr>
      <w:r>
        <w:rPr>
          <w:rFonts w:hint="eastAsia"/>
          <w:color w:val="000000"/>
        </w:rPr>
        <w:t>2</w:t>
      </w:r>
      <w:r>
        <w:rPr>
          <w:rFonts w:hint="eastAsia" w:hAnsi="宋体"/>
          <w:color w:val="000000"/>
        </w:rPr>
        <w:t>）</w:t>
      </w:r>
      <w:r>
        <w:rPr>
          <w:rFonts w:hint="eastAsia"/>
          <w:color w:val="000000"/>
        </w:rPr>
        <w:t xml:space="preserve"> </w:t>
      </w:r>
      <w:r>
        <w:rPr>
          <w:rFonts w:hint="eastAsia" w:hAnsi="宋体"/>
          <w:color w:val="000000"/>
        </w:rPr>
        <w:t>电能质量监测柜内部接线图，包括电能质量监测柜背面布置图及说明。</w:t>
      </w:r>
    </w:p>
    <w:p>
      <w:pPr>
        <w:spacing w:line="312" w:lineRule="exact"/>
        <w:ind w:firstLine="420" w:firstLineChars="200"/>
        <w:rPr>
          <w:color w:val="000000"/>
        </w:rPr>
      </w:pPr>
      <w:r>
        <w:rPr>
          <w:rFonts w:hint="eastAsia"/>
          <w:color w:val="000000"/>
        </w:rPr>
        <w:t xml:space="preserve">3） </w:t>
      </w:r>
      <w:r>
        <w:rPr>
          <w:rFonts w:hint="eastAsia" w:hAnsi="宋体"/>
          <w:color w:val="000000"/>
        </w:rPr>
        <w:t>电能质量监测柜内端子配置布置图。</w:t>
      </w:r>
    </w:p>
    <w:p>
      <w:pPr>
        <w:spacing w:line="312" w:lineRule="exact"/>
        <w:ind w:firstLine="420" w:firstLineChars="200"/>
        <w:rPr>
          <w:color w:val="000000"/>
        </w:rPr>
      </w:pPr>
      <w:r>
        <w:rPr>
          <w:rFonts w:hint="eastAsia"/>
          <w:color w:val="000000"/>
        </w:rPr>
        <w:t xml:space="preserve">4） </w:t>
      </w:r>
      <w:r>
        <w:rPr>
          <w:rFonts w:hint="eastAsia" w:hAnsi="宋体"/>
          <w:color w:val="000000"/>
        </w:rPr>
        <w:t>电能质量监测柜内端子排的端子排列图。</w:t>
      </w:r>
    </w:p>
    <w:p>
      <w:pPr>
        <w:spacing w:line="312" w:lineRule="exact"/>
        <w:ind w:firstLine="420" w:firstLineChars="200"/>
        <w:rPr>
          <w:color w:val="000000"/>
        </w:rPr>
      </w:pPr>
      <w:r>
        <w:rPr>
          <w:rFonts w:hint="eastAsia"/>
          <w:color w:val="000000"/>
        </w:rPr>
        <w:t xml:space="preserve">5） </w:t>
      </w:r>
      <w:r>
        <w:rPr>
          <w:rFonts w:hint="eastAsia" w:hAnsi="宋体"/>
          <w:color w:val="000000"/>
        </w:rPr>
        <w:t>电能质量监测柜地脚螺栓安装图。</w:t>
      </w:r>
    </w:p>
    <w:p>
      <w:pPr>
        <w:spacing w:line="312" w:lineRule="exact"/>
        <w:ind w:firstLine="420" w:firstLineChars="200"/>
        <w:rPr>
          <w:color w:val="000000"/>
        </w:rPr>
      </w:pPr>
      <w:r>
        <w:rPr>
          <w:rFonts w:hint="eastAsia"/>
          <w:color w:val="000000"/>
        </w:rPr>
        <w:t xml:space="preserve">6） </w:t>
      </w:r>
      <w:r>
        <w:rPr>
          <w:rFonts w:hint="eastAsia" w:hAnsi="宋体"/>
          <w:color w:val="000000"/>
        </w:rPr>
        <w:t>合同设备施工时所必需的其他原理图。</w:t>
      </w:r>
      <w:r>
        <w:rPr>
          <w:rFonts w:hint="eastAsia"/>
          <w:color w:val="000000"/>
        </w:rPr>
        <w:t xml:space="preserve"> </w:t>
      </w:r>
    </w:p>
    <w:p>
      <w:pPr>
        <w:spacing w:line="312" w:lineRule="exact"/>
        <w:ind w:firstLine="420" w:firstLineChars="200"/>
        <w:rPr>
          <w:color w:val="000000"/>
        </w:rPr>
      </w:pPr>
      <w:r>
        <w:rPr>
          <w:rFonts w:hint="eastAsia"/>
          <w:color w:val="000000"/>
        </w:rPr>
        <w:t>7）</w:t>
      </w:r>
      <w:r>
        <w:rPr>
          <w:rFonts w:hint="eastAsia"/>
          <w:color w:val="FF0000"/>
        </w:rPr>
        <w:t xml:space="preserve"> </w:t>
      </w:r>
      <w:r>
        <w:rPr>
          <w:rFonts w:hint="eastAsia" w:hAnsi="宋体"/>
          <w:color w:val="000000"/>
        </w:rPr>
        <w:t>所有图纸的电子文档及支持软件。</w:t>
      </w:r>
    </w:p>
    <w:p>
      <w:pPr>
        <w:pStyle w:val="13"/>
        <w:rPr>
          <w:snapToGrid w:val="0"/>
          <w:kern w:val="0"/>
        </w:rPr>
      </w:pPr>
      <w:bookmarkStart w:id="145" w:name="_Toc247855658"/>
      <w:bookmarkStart w:id="146" w:name="_Toc250484034"/>
      <w:bookmarkStart w:id="147" w:name="_Toc250485465"/>
      <w:bookmarkStart w:id="148" w:name="_Toc250621508"/>
      <w:bookmarkStart w:id="149" w:name="_Toc250621622"/>
      <w:bookmarkStart w:id="150" w:name="_Toc250740475"/>
      <w:bookmarkStart w:id="151" w:name="_Toc250741125"/>
      <w:bookmarkStart w:id="152" w:name="_Toc252535479"/>
      <w:bookmarkStart w:id="153" w:name="_Toc256367598"/>
      <w:r>
        <w:rPr>
          <w:rFonts w:hint="eastAsia"/>
          <w:snapToGrid w:val="0"/>
          <w:kern w:val="0"/>
        </w:rPr>
        <w:t>4.5　其他资料和说明书</w:t>
      </w:r>
      <w:bookmarkEnd w:id="145"/>
      <w:bookmarkEnd w:id="146"/>
      <w:bookmarkEnd w:id="147"/>
      <w:bookmarkEnd w:id="148"/>
      <w:bookmarkEnd w:id="149"/>
      <w:bookmarkEnd w:id="150"/>
      <w:bookmarkEnd w:id="151"/>
      <w:bookmarkEnd w:id="152"/>
      <w:bookmarkEnd w:id="153"/>
    </w:p>
    <w:p>
      <w:pPr>
        <w:tabs>
          <w:tab w:val="left" w:pos="960"/>
        </w:tabs>
        <w:spacing w:line="312" w:lineRule="exact"/>
        <w:rPr>
          <w:color w:val="000000"/>
        </w:rPr>
      </w:pPr>
      <w:r>
        <w:rPr>
          <w:rStyle w:val="15"/>
          <w:rFonts w:hint="eastAsia"/>
        </w:rPr>
        <w:t>4.5.1</w:t>
      </w:r>
      <w:r>
        <w:rPr>
          <w:rFonts w:hint="eastAsia"/>
          <w:color w:val="000000"/>
        </w:rPr>
        <w:t xml:space="preserve">  </w:t>
      </w:r>
      <w:r>
        <w:rPr>
          <w:rFonts w:hint="eastAsia" w:hAnsi="宋体"/>
          <w:color w:val="000000"/>
        </w:rPr>
        <w:t>卖方应提供给买方装置投产前试验用的详细的试验说明和技术要求，还应提供卖方提供的特殊试验仪器的使用说明。卖方还应提供现有装置进行正常试验及运行维护、故障诊断的内容和要求。</w:t>
      </w:r>
    </w:p>
    <w:p>
      <w:pPr>
        <w:tabs>
          <w:tab w:val="left" w:pos="964"/>
        </w:tabs>
        <w:spacing w:line="312" w:lineRule="exact"/>
        <w:rPr>
          <w:color w:val="000000"/>
        </w:rPr>
      </w:pPr>
      <w:r>
        <w:rPr>
          <w:rStyle w:val="15"/>
          <w:rFonts w:hint="eastAsia"/>
        </w:rPr>
        <w:t>4.5.2</w:t>
      </w:r>
      <w:r>
        <w:rPr>
          <w:rFonts w:hint="eastAsia"/>
          <w:color w:val="000000"/>
        </w:rPr>
        <w:t xml:space="preserve">  </w:t>
      </w:r>
      <w:r>
        <w:rPr>
          <w:rFonts w:hint="eastAsia" w:hAnsi="宋体"/>
          <w:color w:val="000000"/>
        </w:rPr>
        <w:t>卖方应提供装置的出厂试验报告。</w:t>
      </w:r>
    </w:p>
    <w:p>
      <w:pPr>
        <w:tabs>
          <w:tab w:val="left" w:pos="964"/>
        </w:tabs>
        <w:spacing w:line="312" w:lineRule="exact"/>
        <w:rPr>
          <w:color w:val="000000"/>
        </w:rPr>
      </w:pPr>
      <w:r>
        <w:rPr>
          <w:rStyle w:val="15"/>
          <w:rFonts w:hint="eastAsia"/>
        </w:rPr>
        <w:t>4.5.3</w:t>
      </w:r>
      <w:r>
        <w:rPr>
          <w:rFonts w:hint="eastAsia"/>
          <w:color w:val="000000"/>
        </w:rPr>
        <w:t xml:space="preserve">  卖方应提供</w:t>
      </w:r>
      <w:r>
        <w:rPr>
          <w:rFonts w:hint="eastAsia" w:hAnsi="宋体"/>
          <w:color w:val="000000"/>
        </w:rPr>
        <w:t>专用工具和仪器的说明。</w:t>
      </w:r>
    </w:p>
    <w:p>
      <w:pPr>
        <w:tabs>
          <w:tab w:val="left" w:pos="964"/>
        </w:tabs>
        <w:spacing w:line="312" w:lineRule="exact"/>
        <w:rPr>
          <w:color w:val="000000"/>
        </w:rPr>
      </w:pPr>
      <w:r>
        <w:rPr>
          <w:rStyle w:val="15"/>
          <w:rFonts w:hint="eastAsia"/>
        </w:rPr>
        <w:t>4.5.4</w:t>
      </w:r>
      <w:r>
        <w:rPr>
          <w:rFonts w:hint="eastAsia"/>
          <w:color w:val="000000"/>
        </w:rPr>
        <w:t xml:space="preserve">  </w:t>
      </w:r>
      <w:r>
        <w:rPr>
          <w:rFonts w:hint="eastAsia" w:hAnsi="宋体"/>
          <w:color w:val="000000"/>
        </w:rPr>
        <w:t>卖方提供与供货装置一致的说明书。</w:t>
      </w:r>
    </w:p>
    <w:p>
      <w:pPr>
        <w:pStyle w:val="13"/>
        <w:rPr>
          <w:snapToGrid w:val="0"/>
          <w:kern w:val="0"/>
        </w:rPr>
      </w:pPr>
      <w:bookmarkStart w:id="154" w:name="_Toc247855659"/>
      <w:bookmarkStart w:id="155" w:name="_Toc250484035"/>
      <w:bookmarkStart w:id="156" w:name="_Toc250485466"/>
      <w:bookmarkStart w:id="157" w:name="_Toc250621509"/>
      <w:bookmarkStart w:id="158" w:name="_Toc250621623"/>
      <w:bookmarkStart w:id="159" w:name="_Toc250740476"/>
      <w:bookmarkStart w:id="160" w:name="_Toc250741126"/>
      <w:bookmarkStart w:id="161" w:name="_Toc252535480"/>
      <w:bookmarkStart w:id="162" w:name="_Toc256367599"/>
      <w:r>
        <w:rPr>
          <w:rFonts w:hint="eastAsia"/>
          <w:snapToGrid w:val="0"/>
          <w:kern w:val="0"/>
        </w:rPr>
        <w:t>4.6　卖方提供的数据</w:t>
      </w:r>
      <w:bookmarkEnd w:id="154"/>
      <w:bookmarkEnd w:id="155"/>
      <w:bookmarkEnd w:id="156"/>
      <w:bookmarkEnd w:id="157"/>
      <w:bookmarkEnd w:id="158"/>
      <w:bookmarkEnd w:id="159"/>
      <w:bookmarkEnd w:id="160"/>
      <w:bookmarkEnd w:id="161"/>
      <w:bookmarkEnd w:id="162"/>
    </w:p>
    <w:p>
      <w:pPr>
        <w:spacing w:line="312" w:lineRule="exact"/>
        <w:rPr>
          <w:color w:val="000000"/>
        </w:rPr>
      </w:pPr>
      <w:r>
        <w:rPr>
          <w:rStyle w:val="15"/>
          <w:rFonts w:hint="eastAsia"/>
        </w:rPr>
        <w:t>4.6.1</w:t>
      </w:r>
      <w:r>
        <w:rPr>
          <w:rFonts w:hint="eastAsia"/>
          <w:color w:val="000000"/>
        </w:rPr>
        <w:t xml:space="preserve">  </w:t>
      </w:r>
      <w:r>
        <w:rPr>
          <w:rFonts w:hint="eastAsia" w:hAnsi="宋体"/>
          <w:color w:val="000000"/>
        </w:rPr>
        <w:t>卖方应提供投标数据和信息，要求卖方提供足以证明设备性能的技术数据。卖方应提供评标所需的资料</w:t>
      </w:r>
      <w:r>
        <w:rPr>
          <w:color w:val="000000"/>
        </w:rPr>
        <w:t>（</w:t>
      </w:r>
      <w:r>
        <w:rPr>
          <w:rFonts w:hint="eastAsia" w:hAnsi="宋体"/>
          <w:color w:val="000000"/>
        </w:rPr>
        <w:t>最新版本或修订版</w:t>
      </w:r>
      <w:r>
        <w:rPr>
          <w:color w:val="000000"/>
        </w:rPr>
        <w:t>）</w:t>
      </w:r>
      <w:r>
        <w:rPr>
          <w:rFonts w:hint="eastAsia" w:hAnsi="宋体"/>
          <w:color w:val="000000"/>
        </w:rPr>
        <w:t>。</w:t>
      </w:r>
    </w:p>
    <w:p>
      <w:pPr>
        <w:spacing w:line="312" w:lineRule="exact"/>
        <w:rPr>
          <w:color w:val="000000"/>
        </w:rPr>
      </w:pPr>
      <w:r>
        <w:rPr>
          <w:rStyle w:val="15"/>
          <w:rFonts w:hint="eastAsia"/>
        </w:rPr>
        <w:t>4.6.2</w:t>
      </w:r>
      <w:r>
        <w:rPr>
          <w:rFonts w:hint="eastAsia"/>
          <w:color w:val="000000"/>
        </w:rPr>
        <w:t xml:space="preserve">  </w:t>
      </w:r>
      <w:r>
        <w:rPr>
          <w:rFonts w:hint="eastAsia" w:hAnsi="宋体"/>
          <w:color w:val="000000"/>
        </w:rPr>
        <w:t>卖方提供的数据应包括卖方所提供产品的性能保证数据、预计性能和接口要求。卖方应提供买方所要求的性能信息，并对其可靠性和一致性负责。卖方所提供的资料和数据将成为合同的一部分。任何数据的更改都须经买方同意。</w:t>
      </w:r>
    </w:p>
    <w:p>
      <w:pPr>
        <w:spacing w:line="312" w:lineRule="exact"/>
        <w:ind w:firstLine="420" w:firstLineChars="200"/>
        <w:rPr>
          <w:color w:val="000000"/>
          <w:kern w:val="21"/>
        </w:rPr>
      </w:pPr>
      <w:r>
        <w:rPr>
          <w:rFonts w:hint="eastAsia" w:hAnsi="宋体"/>
          <w:color w:val="000000"/>
          <w:kern w:val="21"/>
        </w:rPr>
        <w:t>卖方还应提供电能质量在线监测装置的软件版本号。</w:t>
      </w:r>
    </w:p>
    <w:p>
      <w:pPr>
        <w:spacing w:line="312" w:lineRule="exact"/>
        <w:rPr>
          <w:color w:val="000000"/>
        </w:rPr>
      </w:pPr>
      <w:r>
        <w:rPr>
          <w:rStyle w:val="15"/>
          <w:rFonts w:hint="eastAsia"/>
        </w:rPr>
        <w:t>4.6.3</w:t>
      </w:r>
      <w:r>
        <w:rPr>
          <w:rFonts w:hint="eastAsia"/>
          <w:color w:val="000000"/>
        </w:rPr>
        <w:t xml:space="preserve">  </w:t>
      </w:r>
      <w:r>
        <w:rPr>
          <w:rFonts w:hint="eastAsia" w:hAnsi="宋体"/>
          <w:color w:val="000000"/>
        </w:rPr>
        <w:t>如买方因设计和其他需要，要求卖方提供有关技术数据时，卖方应按买方的要求提供这些资料和技术数据。</w:t>
      </w:r>
    </w:p>
    <w:p>
      <w:pPr>
        <w:spacing w:line="312" w:lineRule="exact"/>
        <w:rPr>
          <w:color w:val="000000"/>
        </w:rPr>
      </w:pPr>
      <w:r>
        <w:rPr>
          <w:rStyle w:val="15"/>
          <w:rFonts w:hint="eastAsia"/>
        </w:rPr>
        <w:t>4.6.4</w:t>
      </w:r>
      <w:r>
        <w:rPr>
          <w:rFonts w:hint="eastAsia"/>
          <w:color w:val="000000"/>
        </w:rPr>
        <w:t xml:space="preserve">  </w:t>
      </w:r>
      <w:r>
        <w:rPr>
          <w:rFonts w:hint="eastAsia" w:hAnsi="宋体"/>
          <w:color w:val="000000"/>
        </w:rPr>
        <w:t>卖方应提供供货记录，包括安装地点、投运时间和运行情况。</w:t>
      </w:r>
    </w:p>
    <w:p>
      <w:pPr>
        <w:spacing w:line="312" w:lineRule="exact"/>
        <w:rPr>
          <w:color w:val="000000"/>
        </w:rPr>
      </w:pPr>
      <w:r>
        <w:rPr>
          <w:rStyle w:val="15"/>
          <w:rFonts w:hint="eastAsia"/>
        </w:rPr>
        <w:t>4.6.5</w:t>
      </w:r>
      <w:r>
        <w:rPr>
          <w:rFonts w:hint="eastAsia"/>
          <w:color w:val="000000"/>
        </w:rPr>
        <w:t xml:space="preserve">  </w:t>
      </w:r>
      <w:r>
        <w:rPr>
          <w:rFonts w:hint="eastAsia" w:hAnsi="宋体"/>
          <w:color w:val="000000"/>
        </w:rPr>
        <w:t>卖方应提供产品质量合格证书。</w:t>
      </w:r>
    </w:p>
    <w:p>
      <w:pPr>
        <w:pStyle w:val="13"/>
        <w:rPr>
          <w:snapToGrid w:val="0"/>
          <w:kern w:val="0"/>
        </w:rPr>
      </w:pPr>
      <w:bookmarkStart w:id="163" w:name="_Toc244429500"/>
      <w:bookmarkStart w:id="164" w:name="_Toc244429030"/>
      <w:bookmarkStart w:id="165" w:name="_Toc247855660"/>
      <w:bookmarkStart w:id="166" w:name="_Toc250484036"/>
      <w:bookmarkStart w:id="167" w:name="_Toc250485467"/>
      <w:bookmarkStart w:id="168" w:name="_Toc250621510"/>
      <w:bookmarkStart w:id="169" w:name="_Toc250621624"/>
      <w:bookmarkStart w:id="170" w:name="_Toc250740477"/>
      <w:bookmarkStart w:id="171" w:name="_Toc250741127"/>
      <w:bookmarkStart w:id="172" w:name="_Toc252535481"/>
      <w:bookmarkStart w:id="173" w:name="_Toc256367600"/>
      <w:r>
        <w:rPr>
          <w:rFonts w:hint="eastAsia"/>
          <w:snapToGrid w:val="0"/>
          <w:kern w:val="0"/>
        </w:rPr>
        <w:t>4.7　图纸和资料分送单位、套数和地址</w:t>
      </w:r>
      <w:bookmarkEnd w:id="163"/>
      <w:bookmarkEnd w:id="164"/>
      <w:bookmarkEnd w:id="165"/>
      <w:bookmarkEnd w:id="166"/>
      <w:bookmarkEnd w:id="167"/>
      <w:bookmarkEnd w:id="168"/>
      <w:bookmarkEnd w:id="169"/>
      <w:bookmarkEnd w:id="170"/>
      <w:bookmarkEnd w:id="171"/>
      <w:bookmarkEnd w:id="172"/>
      <w:bookmarkEnd w:id="173"/>
    </w:p>
    <w:p>
      <w:pPr>
        <w:spacing w:line="312" w:lineRule="exact"/>
        <w:ind w:firstLine="420" w:firstLineChars="200"/>
        <w:rPr>
          <w:color w:val="000000"/>
          <w:kern w:val="21"/>
        </w:rPr>
      </w:pPr>
      <w:r>
        <w:rPr>
          <w:rFonts w:hint="eastAsia" w:hAnsi="宋体"/>
          <w:color w:val="000000"/>
          <w:kern w:val="21"/>
        </w:rPr>
        <w:t>图纸和资料分送单位、套数和地址在专用部分明确。</w:t>
      </w:r>
    </w:p>
    <w:p>
      <w:pPr>
        <w:pStyle w:val="13"/>
        <w:rPr>
          <w:snapToGrid w:val="0"/>
          <w:kern w:val="0"/>
        </w:rPr>
      </w:pPr>
      <w:bookmarkStart w:id="174" w:name="_Toc250484037"/>
      <w:bookmarkStart w:id="175" w:name="_Toc250485468"/>
      <w:bookmarkStart w:id="176" w:name="_Toc250621511"/>
      <w:bookmarkStart w:id="177" w:name="_Toc250621625"/>
      <w:bookmarkStart w:id="178" w:name="_Toc250740478"/>
      <w:bookmarkStart w:id="179" w:name="_Toc250741128"/>
      <w:bookmarkStart w:id="180" w:name="_Toc252535482"/>
      <w:bookmarkStart w:id="181" w:name="_Toc256367601"/>
      <w:r>
        <w:rPr>
          <w:rFonts w:hint="eastAsia"/>
          <w:snapToGrid w:val="0"/>
          <w:kern w:val="0"/>
        </w:rPr>
        <w:t>4</w:t>
      </w:r>
      <w:r>
        <w:rPr>
          <w:snapToGrid w:val="0"/>
          <w:kern w:val="0"/>
        </w:rPr>
        <w:t>.</w:t>
      </w:r>
      <w:r>
        <w:rPr>
          <w:rFonts w:hint="eastAsia"/>
          <w:snapToGrid w:val="0"/>
          <w:kern w:val="0"/>
        </w:rPr>
        <w:t>8　设计联络会议</w:t>
      </w:r>
      <w:bookmarkEnd w:id="174"/>
      <w:bookmarkEnd w:id="175"/>
      <w:bookmarkEnd w:id="176"/>
      <w:bookmarkEnd w:id="177"/>
      <w:bookmarkEnd w:id="178"/>
      <w:bookmarkEnd w:id="179"/>
      <w:bookmarkEnd w:id="180"/>
      <w:bookmarkEnd w:id="181"/>
    </w:p>
    <w:p>
      <w:pPr>
        <w:spacing w:line="312" w:lineRule="exact"/>
        <w:rPr>
          <w:color w:val="000000"/>
        </w:rPr>
      </w:pPr>
      <w:r>
        <w:rPr>
          <w:rStyle w:val="15"/>
          <w:rFonts w:hint="eastAsia"/>
        </w:rPr>
        <w:t>4</w:t>
      </w:r>
      <w:r>
        <w:rPr>
          <w:rStyle w:val="15"/>
        </w:rPr>
        <w:t>.</w:t>
      </w:r>
      <w:r>
        <w:rPr>
          <w:rStyle w:val="15"/>
          <w:rFonts w:hint="eastAsia"/>
        </w:rPr>
        <w:t>8</w:t>
      </w:r>
      <w:r>
        <w:rPr>
          <w:rStyle w:val="15"/>
        </w:rPr>
        <w:t>.1</w:t>
      </w:r>
      <w:r>
        <w:rPr>
          <w:color w:val="000000"/>
        </w:rPr>
        <w:t xml:space="preserve"> </w:t>
      </w:r>
      <w:r>
        <w:rPr>
          <w:rFonts w:hint="eastAsia"/>
          <w:color w:val="000000"/>
        </w:rPr>
        <w:t xml:space="preserve"> </w:t>
      </w:r>
      <w:r>
        <w:rPr>
          <w:rFonts w:hint="eastAsia" w:hAnsi="宋体"/>
          <w:color w:val="000000"/>
        </w:rPr>
        <w:t>若有必要，买方在收到卖方签字的第一批文件后的</w:t>
      </w:r>
      <w:r>
        <w:rPr>
          <w:rFonts w:hint="eastAsia"/>
          <w:color w:val="000000"/>
        </w:rPr>
        <w:t>2</w:t>
      </w:r>
      <w:r>
        <w:rPr>
          <w:rFonts w:hint="eastAsia" w:hAnsi="宋体"/>
          <w:color w:val="000000"/>
        </w:rPr>
        <w:t>周内将举行设计联络会议。</w:t>
      </w:r>
    </w:p>
    <w:p>
      <w:pPr>
        <w:spacing w:line="312" w:lineRule="exact"/>
        <w:ind w:firstLine="420" w:firstLineChars="200"/>
        <w:rPr>
          <w:color w:val="000000"/>
          <w:kern w:val="21"/>
        </w:rPr>
      </w:pPr>
      <w:r>
        <w:rPr>
          <w:rFonts w:hint="eastAsia" w:hAnsi="宋体"/>
          <w:color w:val="000000"/>
          <w:kern w:val="21"/>
        </w:rPr>
        <w:t>设计联络会议内容如下：</w:t>
      </w:r>
    </w:p>
    <w:p>
      <w:pPr>
        <w:spacing w:line="312" w:lineRule="exact"/>
        <w:ind w:left="867" w:leftChars="200" w:hanging="447" w:hangingChars="213"/>
        <w:rPr>
          <w:color w:val="000000"/>
        </w:rPr>
      </w:pPr>
      <w:r>
        <w:rPr>
          <w:rFonts w:hint="eastAsia"/>
          <w:color w:val="000000"/>
        </w:rPr>
        <w:t xml:space="preserve">1） </w:t>
      </w:r>
      <w:r>
        <w:rPr>
          <w:rFonts w:hint="eastAsia" w:hAnsi="宋体"/>
          <w:color w:val="000000"/>
        </w:rPr>
        <w:t>卖方应对修改后的供确认的资料和图纸进行详细的解释，并应解答买方对这些资料和图纸所提的问题，经过共同讨论，买方给予确认，以便卖方绘制正式图纸提供给买方。</w:t>
      </w:r>
    </w:p>
    <w:p>
      <w:pPr>
        <w:spacing w:line="312" w:lineRule="exact"/>
        <w:ind w:firstLine="420" w:firstLineChars="200"/>
        <w:rPr>
          <w:color w:val="000000"/>
        </w:rPr>
      </w:pPr>
      <w:r>
        <w:rPr>
          <w:color w:val="000000"/>
        </w:rPr>
        <w:t>2）</w:t>
      </w:r>
      <w:r>
        <w:rPr>
          <w:rFonts w:hint="eastAsia"/>
          <w:color w:val="000000"/>
        </w:rPr>
        <w:t xml:space="preserve"> </w:t>
      </w:r>
      <w:r>
        <w:rPr>
          <w:rFonts w:hint="eastAsia" w:hAnsi="宋体"/>
          <w:color w:val="000000"/>
        </w:rPr>
        <w:t>卖方应介绍合同产品已有的运行经验。</w:t>
      </w:r>
    </w:p>
    <w:p>
      <w:pPr>
        <w:spacing w:line="312" w:lineRule="exact"/>
        <w:ind w:firstLine="420" w:firstLineChars="200"/>
        <w:rPr>
          <w:color w:val="000000"/>
        </w:rPr>
      </w:pPr>
      <w:r>
        <w:rPr>
          <w:rFonts w:hint="eastAsia"/>
          <w:color w:val="000000"/>
        </w:rPr>
        <w:t xml:space="preserve">3） </w:t>
      </w:r>
      <w:r>
        <w:rPr>
          <w:rFonts w:hint="eastAsia" w:hAnsi="宋体"/>
          <w:color w:val="000000"/>
        </w:rPr>
        <w:t>卖方应提供验收大纲、工程参数表。</w:t>
      </w:r>
    </w:p>
    <w:p>
      <w:pPr>
        <w:spacing w:line="312" w:lineRule="exact"/>
        <w:rPr>
          <w:color w:val="000000"/>
        </w:rPr>
      </w:pPr>
      <w:r>
        <w:rPr>
          <w:rStyle w:val="15"/>
          <w:rFonts w:hint="eastAsia"/>
        </w:rPr>
        <w:t>4.8.2</w:t>
      </w:r>
      <w:r>
        <w:rPr>
          <w:rFonts w:hint="eastAsia"/>
          <w:color w:val="000000"/>
        </w:rPr>
        <w:t xml:space="preserve">  </w:t>
      </w:r>
      <w:r>
        <w:rPr>
          <w:rFonts w:hint="eastAsia" w:hAnsi="宋体"/>
          <w:color w:val="000000"/>
        </w:rPr>
        <w:t>会议需要签订会议纪要，该纪要将作为合同的组成部分。</w:t>
      </w:r>
    </w:p>
    <w:p>
      <w:pPr>
        <w:pStyle w:val="13"/>
        <w:rPr>
          <w:snapToGrid w:val="0"/>
          <w:kern w:val="0"/>
        </w:rPr>
      </w:pPr>
      <w:bookmarkStart w:id="182" w:name="_Toc250484038"/>
      <w:bookmarkStart w:id="183" w:name="_Toc250485469"/>
      <w:bookmarkStart w:id="184" w:name="_Toc250621512"/>
      <w:bookmarkStart w:id="185" w:name="_Toc250621626"/>
      <w:bookmarkStart w:id="186" w:name="_Toc250740479"/>
      <w:bookmarkStart w:id="187" w:name="_Toc250741129"/>
      <w:bookmarkStart w:id="188" w:name="_Toc252535483"/>
      <w:bookmarkStart w:id="189" w:name="_Toc256367602"/>
      <w:r>
        <w:rPr>
          <w:rFonts w:hint="eastAsia"/>
          <w:snapToGrid w:val="0"/>
          <w:kern w:val="0"/>
        </w:rPr>
        <w:t>4</w:t>
      </w:r>
      <w:r>
        <w:rPr>
          <w:snapToGrid w:val="0"/>
          <w:kern w:val="0"/>
        </w:rPr>
        <w:t>.</w:t>
      </w:r>
      <w:r>
        <w:rPr>
          <w:rFonts w:hint="eastAsia"/>
          <w:snapToGrid w:val="0"/>
          <w:kern w:val="0"/>
        </w:rPr>
        <w:t>9　工厂验收和现场验收</w:t>
      </w:r>
      <w:bookmarkEnd w:id="182"/>
      <w:bookmarkEnd w:id="183"/>
      <w:bookmarkEnd w:id="184"/>
      <w:bookmarkEnd w:id="185"/>
      <w:bookmarkEnd w:id="186"/>
      <w:bookmarkEnd w:id="187"/>
      <w:bookmarkEnd w:id="188"/>
      <w:bookmarkEnd w:id="189"/>
    </w:p>
    <w:p>
      <w:pPr>
        <w:spacing w:line="312" w:lineRule="exact"/>
        <w:ind w:firstLine="420" w:firstLineChars="200"/>
        <w:rPr>
          <w:color w:val="000000"/>
          <w:kern w:val="21"/>
        </w:rPr>
      </w:pPr>
      <w:r>
        <w:rPr>
          <w:rFonts w:hint="eastAsia" w:hAnsi="宋体"/>
          <w:color w:val="000000"/>
          <w:kern w:val="21"/>
        </w:rPr>
        <w:t>要求满足国家电网公司企业标准中关于工厂验收（现场）的规范要求。</w:t>
      </w:r>
    </w:p>
    <w:p>
      <w:pPr>
        <w:pStyle w:val="13"/>
        <w:rPr>
          <w:snapToGrid w:val="0"/>
          <w:kern w:val="0"/>
        </w:rPr>
      </w:pPr>
      <w:bookmarkStart w:id="190" w:name="_Toc250484039"/>
      <w:bookmarkStart w:id="191" w:name="_Toc250485470"/>
      <w:bookmarkStart w:id="192" w:name="_Toc250621513"/>
      <w:bookmarkStart w:id="193" w:name="_Toc250621627"/>
      <w:bookmarkStart w:id="194" w:name="_Toc250740480"/>
      <w:bookmarkStart w:id="195" w:name="_Toc250741130"/>
      <w:bookmarkStart w:id="196" w:name="_Toc252535484"/>
      <w:bookmarkStart w:id="197" w:name="_Toc256367603"/>
      <w:r>
        <w:rPr>
          <w:rFonts w:hint="eastAsia"/>
          <w:snapToGrid w:val="0"/>
          <w:kern w:val="0"/>
        </w:rPr>
        <w:t>4</w:t>
      </w:r>
      <w:r>
        <w:rPr>
          <w:snapToGrid w:val="0"/>
          <w:kern w:val="0"/>
        </w:rPr>
        <w:t>.</w:t>
      </w:r>
      <w:r>
        <w:rPr>
          <w:rFonts w:hint="eastAsia"/>
          <w:snapToGrid w:val="0"/>
          <w:kern w:val="0"/>
        </w:rPr>
        <w:t>10　质量保证</w:t>
      </w:r>
      <w:bookmarkEnd w:id="117"/>
      <w:bookmarkEnd w:id="190"/>
      <w:bookmarkEnd w:id="191"/>
      <w:bookmarkEnd w:id="192"/>
      <w:bookmarkEnd w:id="193"/>
      <w:bookmarkEnd w:id="194"/>
      <w:bookmarkEnd w:id="195"/>
      <w:bookmarkEnd w:id="196"/>
      <w:bookmarkEnd w:id="197"/>
    </w:p>
    <w:p>
      <w:pPr>
        <w:spacing w:line="312" w:lineRule="exact"/>
        <w:rPr>
          <w:color w:val="000000"/>
        </w:rPr>
      </w:pPr>
      <w:r>
        <w:rPr>
          <w:rStyle w:val="15"/>
          <w:rFonts w:hint="eastAsia"/>
        </w:rPr>
        <w:t>4</w:t>
      </w:r>
      <w:r>
        <w:rPr>
          <w:rStyle w:val="15"/>
        </w:rPr>
        <w:t>.</w:t>
      </w:r>
      <w:r>
        <w:rPr>
          <w:rStyle w:val="15"/>
          <w:rFonts w:hint="eastAsia"/>
        </w:rPr>
        <w:t>10</w:t>
      </w:r>
      <w:r>
        <w:rPr>
          <w:rStyle w:val="15"/>
        </w:rPr>
        <w:t>.1</w:t>
      </w:r>
      <w:r>
        <w:rPr>
          <w:color w:val="000000"/>
        </w:rPr>
        <w:t xml:space="preserve"> </w:t>
      </w:r>
      <w:r>
        <w:rPr>
          <w:rFonts w:hint="eastAsia"/>
          <w:color w:val="000000"/>
        </w:rPr>
        <w:t xml:space="preserve"> </w:t>
      </w:r>
      <w:r>
        <w:rPr>
          <w:rFonts w:hint="eastAsia" w:hAnsi="宋体"/>
          <w:color w:val="000000"/>
        </w:rPr>
        <w:t>卖方应保证制造过程中的所有工艺、材料、试验等</w:t>
      </w:r>
      <w:r>
        <w:rPr>
          <w:color w:val="000000"/>
        </w:rPr>
        <w:t>（</w:t>
      </w:r>
      <w:r>
        <w:rPr>
          <w:rFonts w:hint="eastAsia" w:hAnsi="宋体"/>
          <w:color w:val="000000"/>
        </w:rPr>
        <w:t>包括卖方的外购件在内</w:t>
      </w:r>
      <w:r>
        <w:rPr>
          <w:color w:val="000000"/>
        </w:rPr>
        <w:t>）</w:t>
      </w:r>
      <w:r>
        <w:rPr>
          <w:rFonts w:hint="eastAsia" w:hAnsi="宋体"/>
          <w:color w:val="000000"/>
        </w:rPr>
        <w:t>均应符合本规范的规定。若买方根据运行经验指定卖方提供某种外购零部件，卖方应积极配合。卖方对所购配套部件设备质量负责，采购前向买方提供主要国产元器件报价表，采购中应进行严格的质量检验，交货时必须向买方提供其产品质量合格证书及有关安装使用等技术文件资料。</w:t>
      </w:r>
    </w:p>
    <w:p>
      <w:pPr>
        <w:spacing w:line="312" w:lineRule="exact"/>
        <w:rPr>
          <w:color w:val="000000"/>
        </w:rPr>
      </w:pPr>
      <w:r>
        <w:rPr>
          <w:rStyle w:val="15"/>
          <w:rFonts w:hint="eastAsia"/>
        </w:rPr>
        <w:t>4</w:t>
      </w:r>
      <w:r>
        <w:rPr>
          <w:rStyle w:val="15"/>
        </w:rPr>
        <w:t>.</w:t>
      </w:r>
      <w:r>
        <w:rPr>
          <w:rStyle w:val="15"/>
          <w:rFonts w:hint="eastAsia"/>
        </w:rPr>
        <w:t>10</w:t>
      </w:r>
      <w:r>
        <w:rPr>
          <w:rStyle w:val="15"/>
        </w:rPr>
        <w:t>.2</w:t>
      </w:r>
      <w:r>
        <w:rPr>
          <w:rFonts w:hint="eastAsia"/>
          <w:color w:val="000000"/>
        </w:rPr>
        <w:t xml:space="preserve"> </w:t>
      </w:r>
      <w:r>
        <w:rPr>
          <w:color w:val="000000"/>
        </w:rPr>
        <w:t xml:space="preserve"> </w:t>
      </w:r>
      <w:r>
        <w:rPr>
          <w:rFonts w:hint="eastAsia" w:hAnsi="宋体"/>
          <w:color w:val="000000"/>
        </w:rPr>
        <w:t>对于采用引进技术的设备、元器件，卖方在采购前应向买方提供主要进口元器件报价表。引进的设备、元器件应符合引进国的技术标准或</w:t>
      </w:r>
      <w:r>
        <w:rPr>
          <w:color w:val="000000"/>
        </w:rPr>
        <w:t>IEC</w:t>
      </w:r>
      <w:r>
        <w:rPr>
          <w:rFonts w:hint="eastAsia" w:hAnsi="宋体"/>
          <w:color w:val="000000"/>
        </w:rPr>
        <w:t>标准，当标准与本规范有矛盾时，卖方应将处理意见书面通知买方，由买卖双方协商解决。假若卖方有更优越或更为经济的设计和材料，足以使卖方的产品更为安全、可靠、灵活、适应时，卖方可提出并经买方的认可，然而必须遵循现行的国家工业标准，并且有成熟的设计和工艺要求以及工程实践经验。</w:t>
      </w:r>
    </w:p>
    <w:p>
      <w:pPr>
        <w:spacing w:line="312" w:lineRule="exact"/>
        <w:rPr>
          <w:color w:val="000000"/>
        </w:rPr>
      </w:pPr>
      <w:r>
        <w:rPr>
          <w:rStyle w:val="15"/>
          <w:rFonts w:hint="eastAsia"/>
        </w:rPr>
        <w:t>4</w:t>
      </w:r>
      <w:r>
        <w:rPr>
          <w:rStyle w:val="15"/>
        </w:rPr>
        <w:t>.</w:t>
      </w:r>
      <w:r>
        <w:rPr>
          <w:rStyle w:val="15"/>
          <w:rFonts w:hint="eastAsia"/>
        </w:rPr>
        <w:t>10</w:t>
      </w:r>
      <w:r>
        <w:rPr>
          <w:rStyle w:val="15"/>
        </w:rPr>
        <w:t>.3</w:t>
      </w:r>
      <w:r>
        <w:rPr>
          <w:rFonts w:hint="eastAsia"/>
          <w:color w:val="000000"/>
        </w:rPr>
        <w:t xml:space="preserve"> </w:t>
      </w:r>
      <w:r>
        <w:rPr>
          <w:color w:val="000000"/>
        </w:rPr>
        <w:t xml:space="preserve"> </w:t>
      </w:r>
      <w:r>
        <w:rPr>
          <w:rFonts w:hint="eastAsia" w:hAnsi="宋体"/>
          <w:color w:val="000000"/>
        </w:rPr>
        <w:t>双方签订合同后，卖方应按工程设计及施工进度分批提交技术文件和图纸。必要时，买卖双方尚需进行技术联络，以讨论合同范围内的有关技术问题。</w:t>
      </w:r>
    </w:p>
    <w:p>
      <w:pPr>
        <w:spacing w:line="312" w:lineRule="exact"/>
        <w:rPr>
          <w:color w:val="000000"/>
        </w:rPr>
      </w:pPr>
      <w:r>
        <w:rPr>
          <w:rStyle w:val="15"/>
          <w:rFonts w:hint="eastAsia"/>
        </w:rPr>
        <w:t>4</w:t>
      </w:r>
      <w:r>
        <w:rPr>
          <w:rStyle w:val="15"/>
        </w:rPr>
        <w:t>.</w:t>
      </w:r>
      <w:r>
        <w:rPr>
          <w:rStyle w:val="15"/>
          <w:rFonts w:hint="eastAsia"/>
        </w:rPr>
        <w:t>10</w:t>
      </w:r>
      <w:r>
        <w:rPr>
          <w:rStyle w:val="15"/>
        </w:rPr>
        <w:t>.4</w:t>
      </w:r>
      <w:r>
        <w:rPr>
          <w:rFonts w:hint="eastAsia"/>
          <w:color w:val="000000"/>
        </w:rPr>
        <w:t xml:space="preserve">  </w:t>
      </w:r>
      <w:r>
        <w:rPr>
          <w:rFonts w:hint="eastAsia" w:hAnsi="宋体"/>
          <w:color w:val="000000"/>
        </w:rPr>
        <w:t>卖方应保证所提供的设备为由最适宜的原材料并采用先进工艺制成，且未经使用过的全新产品；保证产品的质量、规格和性能与投标文件所述一致。</w:t>
      </w:r>
    </w:p>
    <w:p>
      <w:pPr>
        <w:spacing w:line="312" w:lineRule="exact"/>
        <w:rPr>
          <w:color w:val="000000"/>
        </w:rPr>
      </w:pPr>
      <w:r>
        <w:rPr>
          <w:rStyle w:val="15"/>
          <w:rFonts w:hint="eastAsia"/>
        </w:rPr>
        <w:t>4</w:t>
      </w:r>
      <w:r>
        <w:rPr>
          <w:rStyle w:val="15"/>
        </w:rPr>
        <w:t>.</w:t>
      </w:r>
      <w:r>
        <w:rPr>
          <w:rStyle w:val="15"/>
          <w:rFonts w:hint="eastAsia"/>
        </w:rPr>
        <w:t>10</w:t>
      </w:r>
      <w:r>
        <w:rPr>
          <w:rStyle w:val="15"/>
        </w:rPr>
        <w:t>.</w:t>
      </w:r>
      <w:r>
        <w:rPr>
          <w:rStyle w:val="15"/>
          <w:rFonts w:hint="eastAsia"/>
        </w:rPr>
        <w:t>5</w:t>
      </w:r>
      <w:r>
        <w:rPr>
          <w:rFonts w:hint="eastAsia"/>
          <w:color w:val="000000"/>
        </w:rPr>
        <w:t xml:space="preserve">  </w:t>
      </w:r>
      <w:r>
        <w:rPr>
          <w:rFonts w:hint="eastAsia" w:hAnsi="宋体"/>
          <w:color w:val="000000"/>
        </w:rPr>
        <w:t>卖方提供的终端设备平均无故障运行时间</w:t>
      </w:r>
      <w:r>
        <w:rPr>
          <w:rFonts w:hint="eastAsia"/>
          <w:color w:val="000000"/>
        </w:rPr>
        <w:t>26 000</w:t>
      </w:r>
      <w:r>
        <w:rPr>
          <w:rFonts w:hint="eastAsia" w:hAnsi="宋体"/>
          <w:color w:val="000000"/>
        </w:rPr>
        <w:t>h。</w:t>
      </w:r>
    </w:p>
    <w:p>
      <w:pPr>
        <w:spacing w:line="312" w:lineRule="exact"/>
        <w:rPr>
          <w:color w:val="000000"/>
        </w:rPr>
      </w:pPr>
      <w:r>
        <w:rPr>
          <w:rStyle w:val="15"/>
          <w:rFonts w:hint="eastAsia"/>
        </w:rPr>
        <w:t>4</w:t>
      </w:r>
      <w:r>
        <w:rPr>
          <w:rStyle w:val="15"/>
        </w:rPr>
        <w:t>.</w:t>
      </w:r>
      <w:r>
        <w:rPr>
          <w:rStyle w:val="15"/>
          <w:rFonts w:hint="eastAsia"/>
        </w:rPr>
        <w:t>10</w:t>
      </w:r>
      <w:r>
        <w:rPr>
          <w:rStyle w:val="15"/>
        </w:rPr>
        <w:t>.</w:t>
      </w:r>
      <w:r>
        <w:rPr>
          <w:rStyle w:val="15"/>
          <w:rFonts w:hint="eastAsia"/>
        </w:rPr>
        <w:t>6</w:t>
      </w:r>
      <w:r>
        <w:rPr>
          <w:color w:val="000000"/>
        </w:rPr>
        <w:t xml:space="preserve"> </w:t>
      </w:r>
      <w:r>
        <w:rPr>
          <w:rFonts w:hint="eastAsia"/>
          <w:color w:val="000000"/>
        </w:rPr>
        <w:t xml:space="preserve"> </w:t>
      </w:r>
      <w:r>
        <w:rPr>
          <w:rFonts w:hint="eastAsia" w:hAnsi="宋体"/>
          <w:color w:val="000000"/>
        </w:rPr>
        <w:t>卖方保证所提供的设备在各个方面符合招标文件规定的质量、规格和性能。在合同规定的质量保证期内</w:t>
      </w:r>
      <w:r>
        <w:rPr>
          <w:rFonts w:hint="eastAsia" w:hAnsi="宋体"/>
          <w:color w:val="000000"/>
          <w:spacing w:val="-2"/>
        </w:rPr>
        <w:t>（监测设备到货后</w:t>
      </w:r>
      <w:r>
        <w:rPr>
          <w:rFonts w:hint="eastAsia"/>
          <w:color w:val="000000"/>
          <w:spacing w:val="-2"/>
        </w:rPr>
        <w:t>24</w:t>
      </w:r>
      <w:r>
        <w:rPr>
          <w:rFonts w:hint="eastAsia" w:hAnsi="宋体"/>
          <w:color w:val="000000"/>
          <w:spacing w:val="-2"/>
        </w:rPr>
        <w:t>个月或</w:t>
      </w:r>
      <w:r>
        <w:rPr>
          <w:rFonts w:hint="eastAsia"/>
          <w:color w:val="000000"/>
          <w:spacing w:val="-2"/>
        </w:rPr>
        <w:t>SAT</w:t>
      </w:r>
      <w:r>
        <w:rPr>
          <w:rFonts w:hint="eastAsia" w:hAnsi="宋体"/>
          <w:color w:val="000000"/>
          <w:spacing w:val="-2"/>
        </w:rPr>
        <w:t>后</w:t>
      </w:r>
      <w:r>
        <w:rPr>
          <w:rFonts w:hint="eastAsia"/>
          <w:color w:val="000000"/>
          <w:spacing w:val="-2"/>
        </w:rPr>
        <w:t>18</w:t>
      </w:r>
      <w:r>
        <w:rPr>
          <w:rFonts w:hint="eastAsia" w:hAnsi="宋体"/>
          <w:color w:val="000000"/>
          <w:spacing w:val="-2"/>
        </w:rPr>
        <w:t>个月）</w:t>
      </w:r>
      <w:r>
        <w:rPr>
          <w:rFonts w:hint="eastAsia" w:hAnsi="宋体"/>
          <w:color w:val="000000"/>
        </w:rPr>
        <w:t>，卖方对由于设计、制造和材料、外购零部件的缺陷而造成所供设备的任何破坏、缺陷故障，当卖方收到买方的书面通知后，卖方在</w:t>
      </w:r>
      <w:r>
        <w:rPr>
          <w:color w:val="000000"/>
        </w:rPr>
        <w:t>2</w:t>
      </w:r>
      <w:r>
        <w:rPr>
          <w:rFonts w:hint="eastAsia" w:hAnsi="宋体"/>
          <w:color w:val="000000"/>
        </w:rPr>
        <w:t>天内免费负责修理或更换有缺陷的设备</w:t>
      </w:r>
      <w:r>
        <w:rPr>
          <w:color w:val="000000"/>
          <w:spacing w:val="-2"/>
        </w:rPr>
        <w:t>（</w:t>
      </w:r>
      <w:r>
        <w:rPr>
          <w:rFonts w:hint="eastAsia" w:hAnsi="宋体"/>
          <w:color w:val="000000"/>
          <w:spacing w:val="-2"/>
        </w:rPr>
        <w:t>包括运输费、税收等</w:t>
      </w:r>
      <w:r>
        <w:rPr>
          <w:color w:val="000000"/>
          <w:spacing w:val="-2"/>
        </w:rPr>
        <w:t>）</w:t>
      </w:r>
      <w:r>
        <w:rPr>
          <w:rFonts w:hint="eastAsia" w:hAnsi="宋体"/>
          <w:color w:val="000000"/>
        </w:rPr>
        <w:t>，以达到技术规范书的要求。质保期以合同商务部分为准</w:t>
      </w:r>
      <w:r>
        <w:rPr>
          <w:rFonts w:hint="eastAsia"/>
          <w:color w:val="000000"/>
        </w:rPr>
        <w:t>。</w:t>
      </w:r>
    </w:p>
    <w:p>
      <w:pPr>
        <w:spacing w:line="312" w:lineRule="exact"/>
        <w:ind w:firstLine="420" w:firstLineChars="200"/>
        <w:rPr>
          <w:color w:val="000000"/>
          <w:kern w:val="21"/>
        </w:rPr>
      </w:pPr>
      <w:r>
        <w:rPr>
          <w:rFonts w:hint="eastAsia" w:hAnsi="宋体"/>
          <w:color w:val="000000"/>
          <w:kern w:val="21"/>
        </w:rPr>
        <w:t>质保期后发生质量问题，卖方应提供维修服务。</w:t>
      </w:r>
    </w:p>
    <w:p>
      <w:pPr>
        <w:pStyle w:val="13"/>
        <w:rPr>
          <w:snapToGrid w:val="0"/>
          <w:kern w:val="0"/>
        </w:rPr>
      </w:pPr>
      <w:bookmarkStart w:id="198" w:name="_Toc178439787"/>
      <w:bookmarkStart w:id="199" w:name="_Toc250484040"/>
      <w:bookmarkStart w:id="200" w:name="_Toc250485471"/>
      <w:bookmarkStart w:id="201" w:name="_Toc250621514"/>
      <w:bookmarkStart w:id="202" w:name="_Toc250621628"/>
      <w:bookmarkStart w:id="203" w:name="_Toc250740481"/>
      <w:bookmarkStart w:id="204" w:name="_Toc250741131"/>
      <w:bookmarkStart w:id="205" w:name="_Toc252535485"/>
      <w:bookmarkStart w:id="206" w:name="_Toc256367604"/>
      <w:r>
        <w:rPr>
          <w:rFonts w:hint="eastAsia"/>
          <w:snapToGrid w:val="0"/>
          <w:kern w:val="0"/>
        </w:rPr>
        <w:t>4.11　项目管理</w:t>
      </w:r>
      <w:bookmarkEnd w:id="198"/>
      <w:bookmarkEnd w:id="199"/>
      <w:bookmarkEnd w:id="200"/>
      <w:bookmarkEnd w:id="201"/>
      <w:bookmarkEnd w:id="202"/>
      <w:bookmarkEnd w:id="203"/>
      <w:bookmarkEnd w:id="204"/>
      <w:bookmarkEnd w:id="205"/>
      <w:bookmarkEnd w:id="206"/>
    </w:p>
    <w:p>
      <w:pPr>
        <w:spacing w:line="312" w:lineRule="exact"/>
        <w:rPr>
          <w:color w:val="000000"/>
        </w:rPr>
      </w:pPr>
      <w:r>
        <w:rPr>
          <w:rStyle w:val="15"/>
          <w:rFonts w:hint="eastAsia"/>
        </w:rPr>
        <w:t>4.11</w:t>
      </w:r>
      <w:r>
        <w:rPr>
          <w:rStyle w:val="15"/>
        </w:rPr>
        <w:t>.1</w:t>
      </w:r>
      <w:r>
        <w:rPr>
          <w:color w:val="000000"/>
        </w:rPr>
        <w:t xml:space="preserve"> </w:t>
      </w:r>
      <w:r>
        <w:rPr>
          <w:rFonts w:hint="eastAsia"/>
          <w:color w:val="000000"/>
        </w:rPr>
        <w:t xml:space="preserve"> </w:t>
      </w:r>
      <w:r>
        <w:rPr>
          <w:rFonts w:hint="eastAsia" w:hAnsi="宋体"/>
          <w:color w:val="000000"/>
        </w:rPr>
        <w:t>合同签订后，卖方应指定负责本工程的项目经理负责卖方在工程全过程的各项工作，如工程进度、设计制造、图纸文件、包装运输、现场安装、调试验收等。</w:t>
      </w:r>
    </w:p>
    <w:p>
      <w:pPr>
        <w:spacing w:line="312" w:lineRule="exact"/>
        <w:rPr>
          <w:color w:val="000000"/>
        </w:rPr>
      </w:pPr>
      <w:r>
        <w:rPr>
          <w:rStyle w:val="15"/>
          <w:rFonts w:hint="eastAsia"/>
        </w:rPr>
        <w:t>4.11</w:t>
      </w:r>
      <w:r>
        <w:rPr>
          <w:rStyle w:val="15"/>
        </w:rPr>
        <w:t>.2</w:t>
      </w:r>
      <w:r>
        <w:rPr>
          <w:rFonts w:hint="eastAsia"/>
          <w:color w:val="000000"/>
        </w:rPr>
        <w:t xml:space="preserve">  </w:t>
      </w:r>
      <w:r>
        <w:rPr>
          <w:rFonts w:hint="eastAsia" w:hAnsi="宋体"/>
          <w:color w:val="000000"/>
        </w:rPr>
        <w:t>卖方在订货前应向买方提供一般性资料，如典型说明书、主要的总装图等。</w:t>
      </w:r>
    </w:p>
    <w:p>
      <w:pPr>
        <w:spacing w:line="312" w:lineRule="exact"/>
        <w:rPr>
          <w:color w:val="000000"/>
        </w:rPr>
      </w:pPr>
      <w:r>
        <w:rPr>
          <w:rStyle w:val="15"/>
          <w:rFonts w:hint="eastAsia"/>
        </w:rPr>
        <w:t>4.11</w:t>
      </w:r>
      <w:r>
        <w:rPr>
          <w:rStyle w:val="15"/>
        </w:rPr>
        <w:t>.3</w:t>
      </w:r>
      <w:r>
        <w:rPr>
          <w:color w:val="000000"/>
        </w:rPr>
        <w:t xml:space="preserve"> </w:t>
      </w:r>
      <w:r>
        <w:rPr>
          <w:rFonts w:hint="eastAsia"/>
          <w:color w:val="000000"/>
        </w:rPr>
        <w:t xml:space="preserve"> </w:t>
      </w:r>
      <w:r>
        <w:rPr>
          <w:rFonts w:hint="eastAsia" w:hAnsi="宋体"/>
          <w:color w:val="000000"/>
        </w:rPr>
        <w:t>在技术协议签订</w:t>
      </w:r>
      <w:r>
        <w:rPr>
          <w:color w:val="000000"/>
        </w:rPr>
        <w:t>1</w:t>
      </w:r>
      <w:r>
        <w:rPr>
          <w:rFonts w:hint="eastAsia" w:hAnsi="宋体"/>
          <w:color w:val="000000"/>
        </w:rPr>
        <w:t>个月内，卖方向买方提供以下技术文件：</w:t>
      </w:r>
    </w:p>
    <w:p>
      <w:pPr>
        <w:spacing w:line="312" w:lineRule="exact"/>
        <w:ind w:left="840" w:leftChars="200" w:hanging="420" w:hangingChars="200"/>
        <w:rPr>
          <w:color w:val="000000"/>
        </w:rPr>
      </w:pPr>
      <w:r>
        <w:rPr>
          <w:color w:val="000000"/>
        </w:rPr>
        <w:t>1）</w:t>
      </w:r>
      <w:r>
        <w:rPr>
          <w:rFonts w:hint="eastAsia"/>
          <w:color w:val="000000"/>
        </w:rPr>
        <w:t xml:space="preserve"> </w:t>
      </w:r>
      <w:r>
        <w:rPr>
          <w:rFonts w:hint="eastAsia" w:hAnsi="宋体"/>
          <w:color w:val="000000"/>
        </w:rPr>
        <w:t>总装图，应表示设备总的装配情况，包括外形尺寸、安装尺寸、运输尺寸和质量、端子尺寸及其他。</w:t>
      </w:r>
    </w:p>
    <w:p>
      <w:pPr>
        <w:spacing w:line="312" w:lineRule="exact"/>
        <w:ind w:firstLine="420" w:firstLineChars="200"/>
        <w:rPr>
          <w:color w:val="000000"/>
        </w:rPr>
      </w:pPr>
      <w:r>
        <w:rPr>
          <w:color w:val="000000"/>
        </w:rPr>
        <w:t xml:space="preserve">2） </w:t>
      </w:r>
      <w:r>
        <w:rPr>
          <w:rFonts w:hint="eastAsia" w:hAnsi="宋体"/>
          <w:color w:val="000000"/>
        </w:rPr>
        <w:t>底座图，应表明设备底座的尺寸、固定螺栓的位置和尺寸等。</w:t>
      </w:r>
    </w:p>
    <w:p>
      <w:pPr>
        <w:spacing w:line="312" w:lineRule="exact"/>
        <w:ind w:firstLine="420" w:firstLineChars="200"/>
        <w:rPr>
          <w:color w:val="000000"/>
        </w:rPr>
      </w:pPr>
      <w:r>
        <w:rPr>
          <w:color w:val="000000"/>
        </w:rPr>
        <w:t xml:space="preserve">3） </w:t>
      </w:r>
      <w:r>
        <w:rPr>
          <w:rFonts w:hint="eastAsia" w:hAnsi="宋体"/>
          <w:color w:val="000000"/>
        </w:rPr>
        <w:t>铭牌，包括主要额定参数等。</w:t>
      </w:r>
    </w:p>
    <w:p>
      <w:pPr>
        <w:spacing w:line="312" w:lineRule="exact"/>
        <w:ind w:firstLine="420" w:firstLineChars="200"/>
        <w:rPr>
          <w:color w:val="000000"/>
        </w:rPr>
      </w:pPr>
      <w:r>
        <w:rPr>
          <w:color w:val="000000"/>
        </w:rPr>
        <w:t xml:space="preserve">4） </w:t>
      </w:r>
      <w:r>
        <w:rPr>
          <w:rFonts w:hint="eastAsia" w:hAnsi="宋体"/>
          <w:color w:val="000000"/>
        </w:rPr>
        <w:t>设备的安装、运行、维护、修理调试和全部附件的完整说明、数据、图纸资料。</w:t>
      </w:r>
    </w:p>
    <w:p>
      <w:pPr>
        <w:spacing w:line="312" w:lineRule="exact"/>
        <w:ind w:firstLine="420" w:firstLineChars="200"/>
        <w:rPr>
          <w:color w:val="000000"/>
        </w:rPr>
      </w:pPr>
      <w:r>
        <w:rPr>
          <w:color w:val="000000"/>
        </w:rPr>
        <w:t xml:space="preserve">5） </w:t>
      </w:r>
      <w:r>
        <w:rPr>
          <w:rFonts w:hint="eastAsia" w:hAnsi="宋体"/>
          <w:color w:val="000000"/>
        </w:rPr>
        <w:t>型式试验报告。</w:t>
      </w:r>
    </w:p>
    <w:p>
      <w:pPr>
        <w:spacing w:line="312" w:lineRule="exact"/>
        <w:ind w:firstLine="420" w:firstLineChars="200"/>
        <w:rPr>
          <w:color w:val="000000"/>
        </w:rPr>
      </w:pPr>
      <w:r>
        <w:rPr>
          <w:color w:val="000000"/>
        </w:rPr>
        <w:t xml:space="preserve">6） </w:t>
      </w:r>
      <w:r>
        <w:rPr>
          <w:rFonts w:hint="eastAsia" w:hAnsi="宋体"/>
          <w:color w:val="000000"/>
        </w:rPr>
        <w:t>结构图及对基础的技术要求。</w:t>
      </w:r>
    </w:p>
    <w:p>
      <w:pPr>
        <w:pStyle w:val="13"/>
        <w:rPr>
          <w:snapToGrid w:val="0"/>
          <w:kern w:val="0"/>
        </w:rPr>
      </w:pPr>
      <w:bookmarkStart w:id="207" w:name="_Toc250484041"/>
      <w:bookmarkStart w:id="208" w:name="_Toc250485472"/>
      <w:bookmarkStart w:id="209" w:name="_Toc250621515"/>
      <w:bookmarkStart w:id="210" w:name="_Toc250621629"/>
      <w:bookmarkStart w:id="211" w:name="_Toc250740482"/>
      <w:bookmarkStart w:id="212" w:name="_Toc250741132"/>
      <w:bookmarkStart w:id="213" w:name="_Toc252535486"/>
      <w:bookmarkStart w:id="214" w:name="_Toc256367605"/>
      <w:r>
        <w:rPr>
          <w:rFonts w:hint="eastAsia"/>
          <w:snapToGrid w:val="0"/>
          <w:kern w:val="0"/>
        </w:rPr>
        <w:t>4.12　现场服务</w:t>
      </w:r>
      <w:bookmarkEnd w:id="207"/>
      <w:bookmarkEnd w:id="208"/>
      <w:bookmarkEnd w:id="209"/>
      <w:bookmarkEnd w:id="210"/>
      <w:bookmarkEnd w:id="211"/>
      <w:bookmarkEnd w:id="212"/>
      <w:bookmarkEnd w:id="213"/>
      <w:bookmarkEnd w:id="214"/>
    </w:p>
    <w:p>
      <w:pPr>
        <w:spacing w:line="312" w:lineRule="exact"/>
        <w:ind w:firstLine="420" w:firstLineChars="200"/>
        <w:rPr>
          <w:color w:val="000000"/>
          <w:kern w:val="21"/>
        </w:rPr>
      </w:pPr>
      <w:r>
        <w:rPr>
          <w:rFonts w:hint="eastAsia" w:hAnsi="宋体"/>
          <w:color w:val="000000"/>
          <w:kern w:val="21"/>
        </w:rPr>
        <w:t>在设备安装调试过程中视买方工作情况，卖方及时派出工程技术服务人员，以提供现场服务。卖方派出人员在现场负责技术指导，并协助买方安装、调试。同时，买方为卖方的现场派出人员提供工作和生活的便利条件。</w:t>
      </w:r>
    </w:p>
    <w:p>
      <w:pPr>
        <w:spacing w:line="312" w:lineRule="exact"/>
        <w:ind w:firstLine="420" w:firstLineChars="200"/>
        <w:rPr>
          <w:color w:val="000000"/>
          <w:kern w:val="21"/>
        </w:rPr>
      </w:pPr>
      <w:r>
        <w:rPr>
          <w:rFonts w:hint="eastAsia" w:hAnsi="宋体"/>
          <w:color w:val="000000"/>
          <w:kern w:val="21"/>
        </w:rPr>
        <w:t>当监测设备分批投运时</w:t>
      </w:r>
      <w:r>
        <w:rPr>
          <w:rFonts w:hint="eastAsia"/>
          <w:color w:val="000000"/>
          <w:kern w:val="21"/>
        </w:rPr>
        <w:t>，</w:t>
      </w:r>
      <w:r>
        <w:rPr>
          <w:rFonts w:hint="eastAsia" w:hAnsi="宋体"/>
          <w:color w:val="000000"/>
          <w:kern w:val="21"/>
        </w:rPr>
        <w:t>卖方应按合同规定及时派工程技术人员到达现场服务。</w:t>
      </w:r>
    </w:p>
    <w:p>
      <w:pPr>
        <w:pStyle w:val="13"/>
        <w:rPr>
          <w:snapToGrid w:val="0"/>
          <w:kern w:val="0"/>
        </w:rPr>
      </w:pPr>
      <w:bookmarkStart w:id="215" w:name="_Toc250485473"/>
      <w:bookmarkStart w:id="216" w:name="_Toc250484042"/>
      <w:bookmarkStart w:id="217" w:name="_Toc252535487"/>
      <w:bookmarkStart w:id="218" w:name="_Toc250621630"/>
      <w:bookmarkStart w:id="219" w:name="_Toc250740483"/>
      <w:bookmarkStart w:id="220" w:name="_Toc250621516"/>
      <w:bookmarkStart w:id="221" w:name="_Toc250741133"/>
      <w:bookmarkStart w:id="222" w:name="_Toc247855666"/>
      <w:bookmarkStart w:id="223" w:name="_Toc256367606"/>
      <w:r>
        <w:rPr>
          <w:rFonts w:hint="eastAsia"/>
          <w:snapToGrid w:val="0"/>
          <w:kern w:val="0"/>
        </w:rPr>
        <w:t>4.13　售后服务</w:t>
      </w:r>
      <w:bookmarkEnd w:id="215"/>
      <w:bookmarkEnd w:id="216"/>
      <w:bookmarkEnd w:id="217"/>
      <w:bookmarkEnd w:id="218"/>
      <w:bookmarkEnd w:id="219"/>
      <w:bookmarkEnd w:id="220"/>
      <w:bookmarkEnd w:id="221"/>
      <w:bookmarkEnd w:id="222"/>
      <w:bookmarkEnd w:id="223"/>
    </w:p>
    <w:p>
      <w:pPr>
        <w:spacing w:line="312" w:lineRule="exact"/>
        <w:rPr>
          <w:color w:val="000000"/>
        </w:rPr>
      </w:pPr>
      <w:r>
        <w:rPr>
          <w:rStyle w:val="15"/>
          <w:rFonts w:hint="eastAsia"/>
        </w:rPr>
        <w:t>4</w:t>
      </w:r>
      <w:r>
        <w:rPr>
          <w:rStyle w:val="15"/>
        </w:rPr>
        <w:t>.1</w:t>
      </w:r>
      <w:r>
        <w:rPr>
          <w:rStyle w:val="15"/>
          <w:rFonts w:hint="eastAsia"/>
        </w:rPr>
        <w:t>3</w:t>
      </w:r>
      <w:r>
        <w:rPr>
          <w:rStyle w:val="15"/>
        </w:rPr>
        <w:t>.1</w:t>
      </w:r>
      <w:r>
        <w:rPr>
          <w:color w:val="000000"/>
        </w:rPr>
        <w:t xml:space="preserve"> </w:t>
      </w:r>
      <w:r>
        <w:rPr>
          <w:rFonts w:hint="eastAsia"/>
          <w:color w:val="000000"/>
        </w:rPr>
        <w:t xml:space="preserve"> </w:t>
      </w:r>
      <w:r>
        <w:rPr>
          <w:rFonts w:hint="eastAsia" w:hAnsi="宋体"/>
          <w:color w:val="000000"/>
        </w:rPr>
        <w:t>现场投运前和试运行中发现的设备缺陷和元件损坏</w:t>
      </w:r>
      <w:r>
        <w:rPr>
          <w:color w:val="000000"/>
        </w:rPr>
        <w:t>，</w:t>
      </w:r>
      <w:r>
        <w:rPr>
          <w:rFonts w:hint="eastAsia" w:hAnsi="宋体"/>
          <w:color w:val="000000"/>
        </w:rPr>
        <w:t>卖方应及时无偿修理或更换，直至符合规范要求。保修期内产品出现不符合功能要求和技术指标要求，卖方亦应负责修理或更换。保修期外产品出现异常、设备缺陷、元件损坏或不正确动作</w:t>
      </w:r>
      <w:r>
        <w:rPr>
          <w:rFonts w:hint="eastAsia"/>
          <w:color w:val="000000"/>
        </w:rPr>
        <w:t>，</w:t>
      </w:r>
      <w:r>
        <w:rPr>
          <w:rFonts w:hint="eastAsia" w:hAnsi="宋体"/>
          <w:color w:val="000000"/>
        </w:rPr>
        <w:t>现场无法处理时，卖方接到买方通知后，应在</w:t>
      </w:r>
      <w:r>
        <w:rPr>
          <w:rFonts w:hint="eastAsia"/>
          <w:color w:val="000000"/>
        </w:rPr>
        <w:t>4</w:t>
      </w:r>
      <w:r>
        <w:rPr>
          <w:rFonts w:hint="eastAsia" w:hAnsi="宋体"/>
          <w:color w:val="000000"/>
        </w:rPr>
        <w:t>h内响应，并立即派出工程技术人员在</w:t>
      </w:r>
      <w:r>
        <w:rPr>
          <w:rFonts w:hint="eastAsia"/>
          <w:color w:val="000000"/>
        </w:rPr>
        <w:t>48</w:t>
      </w:r>
      <w:r>
        <w:rPr>
          <w:rFonts w:hint="eastAsia" w:hAnsi="宋体"/>
          <w:color w:val="000000"/>
        </w:rPr>
        <w:t>h内到达现场进行处理。</w:t>
      </w:r>
    </w:p>
    <w:p>
      <w:pPr>
        <w:spacing w:line="312" w:lineRule="exact"/>
        <w:rPr>
          <w:color w:val="000000"/>
        </w:rPr>
      </w:pPr>
      <w:r>
        <w:rPr>
          <w:rStyle w:val="15"/>
          <w:rFonts w:hint="eastAsia"/>
        </w:rPr>
        <w:t>4</w:t>
      </w:r>
      <w:r>
        <w:rPr>
          <w:rStyle w:val="15"/>
        </w:rPr>
        <w:t>.</w:t>
      </w:r>
      <w:r>
        <w:rPr>
          <w:rStyle w:val="15"/>
          <w:rFonts w:hint="eastAsia"/>
        </w:rPr>
        <w:t>13</w:t>
      </w:r>
      <w:r>
        <w:rPr>
          <w:rStyle w:val="15"/>
        </w:rPr>
        <w:t>.2</w:t>
      </w:r>
      <w:r>
        <w:rPr>
          <w:color w:val="000000"/>
        </w:rPr>
        <w:t xml:space="preserve"> </w:t>
      </w:r>
      <w:r>
        <w:rPr>
          <w:rFonts w:hint="eastAsia"/>
          <w:color w:val="000000"/>
        </w:rPr>
        <w:t xml:space="preserve"> </w:t>
      </w:r>
      <w:r>
        <w:rPr>
          <w:rFonts w:hint="eastAsia" w:hAnsi="宋体"/>
          <w:color w:val="000000"/>
        </w:rPr>
        <w:t>卖方在设备保修期外及时更换损坏的设备，按成本收取维修费用。</w:t>
      </w:r>
    </w:p>
    <w:p>
      <w:pPr>
        <w:pStyle w:val="13"/>
        <w:rPr>
          <w:snapToGrid w:val="0"/>
          <w:kern w:val="0"/>
        </w:rPr>
      </w:pPr>
      <w:bookmarkStart w:id="224" w:name="_Toc250741134"/>
      <w:bookmarkStart w:id="225" w:name="_Toc252535488"/>
      <w:bookmarkStart w:id="226" w:name="_Toc247855667"/>
      <w:bookmarkStart w:id="227" w:name="_Toc250484043"/>
      <w:bookmarkStart w:id="228" w:name="_Toc250485474"/>
      <w:bookmarkStart w:id="229" w:name="_Toc250621517"/>
      <w:bookmarkStart w:id="230" w:name="_Toc250621631"/>
      <w:bookmarkStart w:id="231" w:name="_Toc250740484"/>
      <w:bookmarkStart w:id="232" w:name="_Toc256367607"/>
      <w:r>
        <w:rPr>
          <w:rFonts w:hint="eastAsia"/>
          <w:snapToGrid w:val="0"/>
          <w:kern w:val="0"/>
        </w:rPr>
        <w:t>4.14　备品备件、专用工具及试验仪器</w:t>
      </w:r>
      <w:bookmarkEnd w:id="224"/>
      <w:bookmarkEnd w:id="225"/>
      <w:bookmarkEnd w:id="226"/>
      <w:bookmarkEnd w:id="227"/>
      <w:bookmarkEnd w:id="228"/>
      <w:bookmarkEnd w:id="229"/>
      <w:bookmarkEnd w:id="230"/>
      <w:bookmarkEnd w:id="231"/>
      <w:bookmarkEnd w:id="232"/>
    </w:p>
    <w:p>
      <w:pPr>
        <w:snapToGrid w:val="0"/>
        <w:spacing w:line="312" w:lineRule="exact"/>
        <w:rPr>
          <w:color w:val="000000"/>
        </w:rPr>
      </w:pPr>
      <w:r>
        <w:rPr>
          <w:rStyle w:val="15"/>
          <w:rFonts w:hint="eastAsia"/>
        </w:rPr>
        <w:t>4.14.1</w:t>
      </w:r>
      <w:r>
        <w:rPr>
          <w:rFonts w:hint="eastAsia"/>
          <w:color w:val="000000"/>
        </w:rPr>
        <w:t xml:space="preserve">  </w:t>
      </w:r>
      <w:r>
        <w:rPr>
          <w:rFonts w:hint="eastAsia" w:hAnsi="宋体"/>
          <w:color w:val="000000"/>
        </w:rPr>
        <w:t>对每套电能质量在线监测设备，卖方应提供必要的备品备件和事故易损备件。</w:t>
      </w:r>
    </w:p>
    <w:p>
      <w:pPr>
        <w:spacing w:line="312" w:lineRule="exact"/>
        <w:rPr>
          <w:rFonts w:hAnsi="宋体"/>
          <w:color w:val="000000"/>
        </w:rPr>
      </w:pPr>
      <w:r>
        <w:rPr>
          <w:rStyle w:val="15"/>
          <w:rFonts w:hint="eastAsia"/>
        </w:rPr>
        <w:t>4.14.2</w:t>
      </w:r>
      <w:r>
        <w:rPr>
          <w:rFonts w:hint="eastAsia"/>
          <w:color w:val="000000"/>
        </w:rPr>
        <w:t xml:space="preserve">  </w:t>
      </w:r>
      <w:r>
        <w:rPr>
          <w:rFonts w:hint="eastAsia" w:hAnsi="宋体"/>
          <w:color w:val="000000"/>
        </w:rPr>
        <w:t>卖方应提供安装、运行、检修所需的非常规或非标准的专用工具，包括专用调试、测试设备。</w:t>
      </w:r>
    </w:p>
    <w:p>
      <w:pPr>
        <w:spacing w:line="312" w:lineRule="exact"/>
        <w:rPr>
          <w:rFonts w:hAnsi="宋体"/>
          <w:color w:val="000000"/>
        </w:rPr>
      </w:pPr>
    </w:p>
    <w:p>
      <w:pPr>
        <w:spacing w:line="312" w:lineRule="exact"/>
        <w:rPr>
          <w:rFonts w:hAnsi="宋体"/>
          <w:color w:val="000000"/>
        </w:rPr>
      </w:pPr>
    </w:p>
    <w:p/>
    <w:p/>
    <w:p/>
    <w:p/>
    <w:p/>
    <w:p/>
    <w:p/>
    <w:p/>
    <w:p/>
    <w:p/>
    <w:p/>
    <w:p/>
    <w:p/>
    <w:p/>
    <w:p/>
    <w:p/>
    <w:p/>
    <w:p/>
    <w:p/>
    <w:p/>
    <w:p/>
    <w:p/>
    <w:p/>
    <w:p/>
    <w:p/>
    <w:p/>
    <w:p>
      <w:pPr>
        <w:topLinePunct/>
        <w:ind w:firstLine="18" w:firstLineChars="4"/>
        <w:jc w:val="center"/>
        <w:rPr>
          <w:rFonts w:eastAsia="黑体"/>
          <w:b/>
          <w:sz w:val="44"/>
          <w:u w:val="single"/>
        </w:rPr>
      </w:pPr>
    </w:p>
    <w:p>
      <w:pPr>
        <w:topLinePunct/>
        <w:ind w:firstLine="18" w:firstLineChars="4"/>
        <w:jc w:val="center"/>
        <w:rPr>
          <w:rFonts w:eastAsia="黑体"/>
          <w:b/>
          <w:sz w:val="44"/>
          <w:u w:val="single"/>
        </w:rPr>
      </w:pPr>
    </w:p>
    <w:p>
      <w:pPr>
        <w:topLinePunct/>
        <w:ind w:firstLine="18" w:firstLineChars="4"/>
        <w:jc w:val="center"/>
        <w:rPr>
          <w:rFonts w:eastAsia="黑体"/>
          <w:b/>
          <w:sz w:val="44"/>
          <w:u w:val="single"/>
        </w:rPr>
      </w:pPr>
    </w:p>
    <w:p>
      <w:pPr>
        <w:topLinePunct/>
        <w:ind w:firstLine="18" w:firstLineChars="4"/>
        <w:jc w:val="center"/>
        <w:rPr>
          <w:rFonts w:eastAsia="黑体"/>
          <w:b/>
          <w:sz w:val="44"/>
          <w:u w:val="single"/>
        </w:rPr>
      </w:pPr>
      <w:r>
        <w:rPr>
          <w:rFonts w:hint="eastAsia" w:eastAsia="黑体"/>
          <w:b/>
          <w:sz w:val="44"/>
          <w:u w:val="single"/>
        </w:rPr>
        <w:t>电能质量在线监测装置</w:t>
      </w:r>
    </w:p>
    <w:p>
      <w:pPr>
        <w:topLinePunct/>
        <w:ind w:firstLine="22" w:firstLineChars="4"/>
        <w:jc w:val="center"/>
        <w:rPr>
          <w:rFonts w:eastAsia="方正小标宋简体"/>
          <w:spacing w:val="40"/>
          <w:sz w:val="48"/>
          <w:szCs w:val="48"/>
        </w:rPr>
      </w:pPr>
      <w:r>
        <w:rPr>
          <w:rFonts w:hint="eastAsia" w:eastAsia="方正小标宋简体"/>
          <w:spacing w:val="40"/>
          <w:sz w:val="48"/>
          <w:szCs w:val="48"/>
        </w:rPr>
        <w:t>专用技术规范</w:t>
      </w:r>
    </w:p>
    <w:p/>
    <w:p>
      <w:pPr>
        <w:pStyle w:val="2"/>
        <w:keepNext w:val="0"/>
        <w:keepLines w:val="0"/>
        <w:spacing w:line="1200" w:lineRule="auto"/>
        <w:ind w:firstLine="0"/>
        <w:jc w:val="center"/>
        <w:textAlignment w:val="auto"/>
        <w:rPr>
          <w:rFonts w:ascii="黑体" w:eastAsia="黑体"/>
          <w:kern w:val="2"/>
          <w:sz w:val="32"/>
          <w:szCs w:val="20"/>
        </w:rPr>
      </w:pPr>
    </w:p>
    <w:p>
      <w:pPr>
        <w:pStyle w:val="2"/>
        <w:keepNext w:val="0"/>
        <w:keepLines w:val="0"/>
        <w:spacing w:line="1200" w:lineRule="auto"/>
        <w:ind w:firstLine="0"/>
        <w:jc w:val="center"/>
        <w:textAlignment w:val="auto"/>
        <w:rPr>
          <w:rFonts w:ascii="黑体" w:eastAsia="黑体"/>
          <w:kern w:val="2"/>
          <w:sz w:val="32"/>
          <w:szCs w:val="20"/>
        </w:rPr>
      </w:pPr>
    </w:p>
    <w:p>
      <w:pPr>
        <w:pStyle w:val="2"/>
        <w:keepNext w:val="0"/>
        <w:keepLines w:val="0"/>
        <w:spacing w:line="1200" w:lineRule="auto"/>
        <w:ind w:firstLine="0"/>
        <w:jc w:val="center"/>
        <w:textAlignment w:val="auto"/>
        <w:rPr>
          <w:rFonts w:ascii="黑体" w:eastAsia="黑体"/>
          <w:kern w:val="2"/>
          <w:sz w:val="32"/>
          <w:szCs w:val="20"/>
        </w:rPr>
      </w:pPr>
    </w:p>
    <w:p>
      <w:pPr>
        <w:pStyle w:val="2"/>
        <w:keepNext w:val="0"/>
        <w:keepLines w:val="0"/>
        <w:spacing w:line="1200" w:lineRule="auto"/>
        <w:ind w:firstLine="0"/>
        <w:jc w:val="center"/>
        <w:textAlignment w:val="auto"/>
        <w:rPr>
          <w:rFonts w:ascii="黑体" w:eastAsia="黑体"/>
          <w:kern w:val="2"/>
          <w:sz w:val="32"/>
          <w:szCs w:val="20"/>
        </w:rPr>
      </w:pPr>
    </w:p>
    <w:p>
      <w:pPr>
        <w:pStyle w:val="2"/>
        <w:keepNext w:val="0"/>
        <w:keepLines w:val="0"/>
        <w:spacing w:line="1200" w:lineRule="auto"/>
        <w:ind w:firstLine="0"/>
        <w:jc w:val="center"/>
        <w:textAlignment w:val="auto"/>
        <w:rPr>
          <w:rFonts w:ascii="黑体" w:eastAsia="黑体"/>
          <w:kern w:val="2"/>
          <w:sz w:val="32"/>
          <w:szCs w:val="20"/>
        </w:rPr>
      </w:pPr>
    </w:p>
    <w:p>
      <w:pPr>
        <w:pStyle w:val="2"/>
        <w:keepNext w:val="0"/>
        <w:keepLines w:val="0"/>
        <w:spacing w:line="1200" w:lineRule="auto"/>
        <w:ind w:firstLine="0"/>
        <w:jc w:val="center"/>
        <w:textAlignment w:val="auto"/>
        <w:rPr>
          <w:rFonts w:ascii="黑体" w:eastAsia="黑体"/>
          <w:kern w:val="2"/>
          <w:sz w:val="32"/>
          <w:szCs w:val="20"/>
        </w:rPr>
      </w:pPr>
    </w:p>
    <w:p>
      <w:pPr>
        <w:pStyle w:val="2"/>
        <w:keepNext w:val="0"/>
        <w:keepLines w:val="0"/>
        <w:spacing w:line="1200" w:lineRule="auto"/>
        <w:ind w:firstLine="0"/>
        <w:jc w:val="center"/>
        <w:textAlignment w:val="auto"/>
        <w:rPr>
          <w:rFonts w:ascii="黑体" w:eastAsia="黑体"/>
          <w:kern w:val="2"/>
          <w:sz w:val="32"/>
          <w:szCs w:val="20"/>
        </w:rPr>
      </w:pPr>
      <w:r>
        <w:rPr>
          <w:rFonts w:hint="eastAsia" w:ascii="黑体" w:eastAsia="黑体"/>
          <w:kern w:val="2"/>
          <w:sz w:val="32"/>
          <w:szCs w:val="20"/>
        </w:rPr>
        <w:t>目　　次</w:t>
      </w:r>
    </w:p>
    <w:p>
      <w:pPr>
        <w:pStyle w:val="6"/>
      </w:pPr>
      <w:r>
        <w:t>1</w:t>
      </w:r>
      <w:r>
        <w:rPr>
          <w:rFonts w:hint="eastAsia"/>
        </w:rPr>
        <w:t>　标准技术参数表</w:t>
      </w:r>
      <w:r>
        <w:tab/>
      </w:r>
      <w:r>
        <w:t>37</w:t>
      </w:r>
    </w:p>
    <w:p>
      <w:pPr>
        <w:pStyle w:val="6"/>
      </w:pPr>
      <w:r>
        <w:t>2</w:t>
      </w:r>
      <w:r>
        <w:rPr>
          <w:rFonts w:hint="eastAsia"/>
        </w:rPr>
        <w:t>　项目需求部分</w:t>
      </w:r>
      <w:r>
        <w:tab/>
      </w:r>
      <w:r>
        <w:t>38</w:t>
      </w:r>
    </w:p>
    <w:p>
      <w:pPr>
        <w:pStyle w:val="6"/>
        <w:ind w:firstLine="216" w:firstLineChars="120"/>
      </w:pPr>
      <w:r>
        <w:rPr>
          <w:sz w:val="18"/>
          <w:szCs w:val="18"/>
        </w:rPr>
        <w:t>2.1</w:t>
      </w:r>
      <w:r>
        <w:rPr>
          <w:rFonts w:hint="eastAsia"/>
          <w:sz w:val="18"/>
          <w:szCs w:val="18"/>
        </w:rPr>
        <w:t>　货物需求及供货范围一览表</w:t>
      </w:r>
      <w:r>
        <w:tab/>
      </w:r>
      <w:r>
        <w:t>38</w:t>
      </w:r>
    </w:p>
    <w:p>
      <w:pPr>
        <w:pStyle w:val="6"/>
        <w:ind w:firstLine="216" w:firstLineChars="120"/>
      </w:pPr>
      <w:r>
        <w:rPr>
          <w:sz w:val="18"/>
          <w:szCs w:val="18"/>
        </w:rPr>
        <w:t>2.2</w:t>
      </w:r>
      <w:r>
        <w:rPr>
          <w:rFonts w:hint="eastAsia"/>
          <w:sz w:val="18"/>
          <w:szCs w:val="18"/>
        </w:rPr>
        <w:t>　可选择的技术参数表</w:t>
      </w:r>
      <w:r>
        <w:tab/>
      </w:r>
      <w:r>
        <w:t>38</w:t>
      </w:r>
    </w:p>
    <w:p>
      <w:pPr>
        <w:pStyle w:val="6"/>
        <w:ind w:firstLine="216" w:firstLineChars="120"/>
        <w:rPr>
          <w:sz w:val="18"/>
          <w:szCs w:val="18"/>
        </w:rPr>
      </w:pPr>
      <w:r>
        <w:rPr>
          <w:sz w:val="18"/>
          <w:szCs w:val="18"/>
        </w:rPr>
        <w:t>2.3</w:t>
      </w:r>
      <w:r>
        <w:rPr>
          <w:rFonts w:hint="eastAsia"/>
          <w:sz w:val="18"/>
          <w:szCs w:val="18"/>
        </w:rPr>
        <w:t>　必备的备品备件、专用工具和仪器仪表供货表</w:t>
      </w:r>
      <w:r>
        <w:tab/>
      </w:r>
      <w:r>
        <w:t>38</w:t>
      </w:r>
    </w:p>
    <w:p>
      <w:pPr>
        <w:pStyle w:val="6"/>
        <w:ind w:firstLine="216" w:firstLineChars="120"/>
      </w:pPr>
      <w:r>
        <w:rPr>
          <w:sz w:val="18"/>
          <w:szCs w:val="18"/>
        </w:rPr>
        <w:t>2.4</w:t>
      </w:r>
      <w:r>
        <w:rPr>
          <w:rFonts w:hint="eastAsia"/>
          <w:sz w:val="18"/>
          <w:szCs w:val="18"/>
        </w:rPr>
        <w:t>　图纸资料提交单位</w:t>
      </w:r>
      <w:r>
        <w:tab/>
      </w:r>
      <w:r>
        <w:t>38</w:t>
      </w:r>
    </w:p>
    <w:p>
      <w:pPr>
        <w:pStyle w:val="6"/>
        <w:ind w:firstLine="216" w:firstLineChars="120"/>
      </w:pPr>
      <w:r>
        <w:rPr>
          <w:sz w:val="18"/>
          <w:szCs w:val="18"/>
        </w:rPr>
        <w:t>2.5</w:t>
      </w:r>
      <w:r>
        <w:rPr>
          <w:rFonts w:hint="eastAsia"/>
          <w:sz w:val="18"/>
          <w:szCs w:val="18"/>
        </w:rPr>
        <w:t>　工程概况</w:t>
      </w:r>
      <w:r>
        <w:tab/>
      </w:r>
      <w:r>
        <w:t>39</w:t>
      </w:r>
    </w:p>
    <w:p>
      <w:pPr>
        <w:pStyle w:val="6"/>
        <w:ind w:firstLine="216" w:firstLineChars="120"/>
      </w:pPr>
      <w:r>
        <w:rPr>
          <w:sz w:val="18"/>
          <w:szCs w:val="18"/>
        </w:rPr>
        <w:t>2.6</w:t>
      </w:r>
      <w:r>
        <w:rPr>
          <w:rFonts w:hint="eastAsia"/>
          <w:sz w:val="18"/>
          <w:szCs w:val="18"/>
        </w:rPr>
        <w:t>　使用条件表</w:t>
      </w:r>
      <w:r>
        <w:tab/>
      </w:r>
      <w:r>
        <w:t>39</w:t>
      </w:r>
    </w:p>
    <w:p>
      <w:pPr>
        <w:pStyle w:val="6"/>
        <w:ind w:firstLine="216" w:firstLineChars="120"/>
      </w:pPr>
      <w:r>
        <w:rPr>
          <w:sz w:val="18"/>
          <w:szCs w:val="18"/>
        </w:rPr>
        <w:t>2.7</w:t>
      </w:r>
      <w:r>
        <w:rPr>
          <w:rFonts w:hint="eastAsia"/>
          <w:sz w:val="18"/>
          <w:szCs w:val="18"/>
        </w:rPr>
        <w:t>　项目单位技术差异表</w:t>
      </w:r>
      <w:r>
        <w:tab/>
      </w:r>
      <w:r>
        <w:t>39</w:t>
      </w:r>
    </w:p>
    <w:p>
      <w:pPr>
        <w:pStyle w:val="6"/>
        <w:ind w:firstLine="216" w:firstLineChars="120"/>
      </w:pPr>
      <w:r>
        <w:rPr>
          <w:sz w:val="18"/>
          <w:szCs w:val="18"/>
        </w:rPr>
        <w:t>2.8</w:t>
      </w:r>
      <w:r>
        <w:rPr>
          <w:rFonts w:hint="eastAsia"/>
          <w:sz w:val="18"/>
          <w:szCs w:val="18"/>
        </w:rPr>
        <w:t>　一次、二次及土建接口要求（适用于扩建工程）</w:t>
      </w:r>
      <w:r>
        <w:tab/>
      </w:r>
      <w:r>
        <w:t>40</w:t>
      </w:r>
    </w:p>
    <w:p>
      <w:pPr>
        <w:pStyle w:val="6"/>
      </w:pPr>
      <w:r>
        <w:t>3</w:t>
      </w:r>
      <w:r>
        <w:rPr>
          <w:rFonts w:hint="eastAsia"/>
        </w:rPr>
        <w:t>　投标人响应部分</w:t>
      </w:r>
      <w:r>
        <w:tab/>
      </w:r>
      <w:r>
        <w:t>40</w:t>
      </w:r>
    </w:p>
    <w:p>
      <w:pPr>
        <w:pStyle w:val="6"/>
        <w:ind w:firstLine="216" w:firstLineChars="120"/>
      </w:pPr>
      <w:r>
        <w:rPr>
          <w:sz w:val="18"/>
          <w:szCs w:val="18"/>
        </w:rPr>
        <w:t>3.1</w:t>
      </w:r>
      <w:r>
        <w:rPr>
          <w:rFonts w:hint="eastAsia"/>
          <w:sz w:val="18"/>
          <w:szCs w:val="18"/>
        </w:rPr>
        <w:t>　投标人技术偏差表</w:t>
      </w:r>
      <w:r>
        <w:tab/>
      </w:r>
      <w:r>
        <w:t>40</w:t>
      </w:r>
    </w:p>
    <w:p>
      <w:pPr>
        <w:pStyle w:val="6"/>
        <w:ind w:firstLine="216" w:firstLineChars="120"/>
      </w:pPr>
      <w:r>
        <w:rPr>
          <w:sz w:val="18"/>
          <w:szCs w:val="18"/>
        </w:rPr>
        <w:t>3.2</w:t>
      </w:r>
      <w:r>
        <w:rPr>
          <w:rFonts w:hint="eastAsia"/>
          <w:sz w:val="18"/>
          <w:szCs w:val="18"/>
        </w:rPr>
        <w:t>　销售及运行业绩表</w:t>
      </w:r>
      <w:r>
        <w:tab/>
      </w:r>
      <w:r>
        <w:t>40</w:t>
      </w:r>
    </w:p>
    <w:p>
      <w:pPr>
        <w:pStyle w:val="6"/>
        <w:ind w:firstLine="216" w:firstLineChars="120"/>
      </w:pPr>
      <w:r>
        <w:rPr>
          <w:sz w:val="18"/>
          <w:szCs w:val="18"/>
        </w:rPr>
        <w:t>3.3</w:t>
      </w:r>
      <w:r>
        <w:rPr>
          <w:rFonts w:hint="eastAsia"/>
          <w:sz w:val="18"/>
          <w:szCs w:val="18"/>
        </w:rPr>
        <w:t>　推荐的备品备件、专用工具和仪器仪表供货表</w:t>
      </w:r>
      <w:r>
        <w:tab/>
      </w:r>
      <w:r>
        <w:t>4</w:t>
      </w:r>
      <w:r>
        <w:rPr>
          <w:rFonts w:hint="eastAsia"/>
        </w:rPr>
        <w:t>0</w:t>
      </w:r>
    </w:p>
    <w:p>
      <w:pPr>
        <w:pStyle w:val="6"/>
        <w:ind w:firstLine="216" w:firstLineChars="120"/>
      </w:pPr>
      <w:r>
        <w:rPr>
          <w:sz w:val="18"/>
          <w:szCs w:val="18"/>
        </w:rPr>
        <w:t>3.4</w:t>
      </w:r>
      <w:r>
        <w:rPr>
          <w:rFonts w:hint="eastAsia"/>
          <w:sz w:val="18"/>
          <w:szCs w:val="18"/>
        </w:rPr>
        <w:t>　最终用户的使用情况证明</w:t>
      </w:r>
      <w:r>
        <w:tab/>
      </w:r>
      <w:r>
        <w:t>41</w:t>
      </w:r>
    </w:p>
    <w:p>
      <w:pPr>
        <w:pStyle w:val="6"/>
        <w:ind w:firstLine="216" w:firstLineChars="120"/>
      </w:pPr>
      <w:r>
        <w:rPr>
          <w:sz w:val="18"/>
          <w:szCs w:val="18"/>
        </w:rPr>
        <w:t>3.5</w:t>
      </w:r>
      <w:r>
        <w:rPr>
          <w:rFonts w:hint="eastAsia"/>
          <w:sz w:val="18"/>
          <w:szCs w:val="18"/>
        </w:rPr>
        <w:t>　投标人提供的试验检测报告表</w:t>
      </w:r>
      <w:r>
        <w:tab/>
      </w:r>
      <w:r>
        <w:t>41</w:t>
      </w:r>
    </w:p>
    <w:p>
      <w:pPr>
        <w:pStyle w:val="6"/>
        <w:ind w:firstLine="216" w:firstLineChars="120"/>
      </w:pPr>
      <w:r>
        <w:rPr>
          <w:sz w:val="18"/>
          <w:szCs w:val="18"/>
        </w:rPr>
        <w:t>3.6</w:t>
      </w:r>
      <w:r>
        <w:rPr>
          <w:rFonts w:hint="eastAsia"/>
          <w:sz w:val="18"/>
          <w:szCs w:val="18"/>
        </w:rPr>
        <w:t>　投标人提供的鉴定证书表</w:t>
      </w:r>
      <w:r>
        <w:tab/>
      </w:r>
      <w:r>
        <w:t>41</w:t>
      </w:r>
    </w:p>
    <w:p>
      <w:pPr>
        <w:pStyle w:val="12"/>
        <w:rPr>
          <w:snapToGrid w:val="0"/>
          <w:kern w:val="0"/>
        </w:rPr>
      </w:pPr>
      <w:r>
        <w:br w:type="page"/>
      </w:r>
      <w:bookmarkStart w:id="233" w:name="_Toc247772986"/>
      <w:bookmarkStart w:id="234" w:name="_Toc250561856"/>
      <w:bookmarkStart w:id="235" w:name="_Toc250623510"/>
      <w:bookmarkStart w:id="236" w:name="_Toc250741859"/>
      <w:bookmarkStart w:id="237" w:name="_Toc256367608"/>
      <w:r>
        <w:rPr>
          <w:rFonts w:hint="eastAsia"/>
          <w:snapToGrid w:val="0"/>
          <w:kern w:val="0"/>
        </w:rPr>
        <w:t>1　标准技术参数</w:t>
      </w:r>
      <w:bookmarkEnd w:id="233"/>
      <w:bookmarkEnd w:id="234"/>
      <w:bookmarkEnd w:id="235"/>
      <w:bookmarkEnd w:id="236"/>
      <w:bookmarkEnd w:id="237"/>
      <w:r>
        <w:rPr>
          <w:rFonts w:hint="eastAsia"/>
          <w:snapToGrid w:val="0"/>
          <w:kern w:val="0"/>
        </w:rPr>
        <w:t>表</w:t>
      </w:r>
    </w:p>
    <w:p>
      <w:pPr>
        <w:pStyle w:val="3"/>
        <w:spacing w:line="312" w:lineRule="exact"/>
        <w:ind w:firstLineChars="200"/>
      </w:pPr>
      <w:r>
        <w:rPr>
          <w:rFonts w:hint="eastAsia" w:hAnsi="宋体"/>
          <w:szCs w:val="21"/>
        </w:rPr>
        <w:t>投标人应认真逐项填写电能质量在线监测装置标准技术参数表（见表</w:t>
      </w:r>
      <w:r>
        <w:rPr>
          <w:rFonts w:hint="eastAsia"/>
          <w:szCs w:val="21"/>
        </w:rPr>
        <w:t>1</w:t>
      </w:r>
      <w:r>
        <w:rPr>
          <w:rFonts w:hint="eastAsia" w:hAnsi="宋体"/>
          <w:szCs w:val="21"/>
        </w:rPr>
        <w:t>、表</w:t>
      </w:r>
      <w:r>
        <w:rPr>
          <w:rFonts w:hint="eastAsia"/>
          <w:szCs w:val="21"/>
        </w:rPr>
        <w:t>2</w:t>
      </w:r>
      <w:r>
        <w:rPr>
          <w:rFonts w:hint="eastAsia" w:hAnsi="宋体"/>
          <w:szCs w:val="21"/>
        </w:rPr>
        <w:t>）中</w:t>
      </w:r>
      <w:r>
        <w:rPr>
          <w:rFonts w:hint="eastAsia"/>
          <w:szCs w:val="21"/>
        </w:rPr>
        <w:t>“</w:t>
      </w:r>
      <w:r>
        <w:rPr>
          <w:rFonts w:hint="eastAsia" w:hAnsi="宋体"/>
          <w:szCs w:val="21"/>
        </w:rPr>
        <w:t>投标人保证值</w:t>
      </w:r>
      <w:r>
        <w:rPr>
          <w:rFonts w:hint="eastAsia"/>
          <w:szCs w:val="21"/>
        </w:rPr>
        <w:t>”</w:t>
      </w:r>
      <w:r>
        <w:rPr>
          <w:rFonts w:hint="eastAsia" w:hAnsi="宋体"/>
          <w:szCs w:val="21"/>
        </w:rPr>
        <w:t>，不能空格，也不能以</w:t>
      </w:r>
      <w:r>
        <w:rPr>
          <w:rFonts w:hint="eastAsia"/>
          <w:szCs w:val="21"/>
        </w:rPr>
        <w:t>“</w:t>
      </w:r>
      <w:r>
        <w:rPr>
          <w:rFonts w:hint="eastAsia" w:hAnsi="宋体"/>
          <w:szCs w:val="21"/>
        </w:rPr>
        <w:t>响应</w:t>
      </w:r>
      <w:r>
        <w:rPr>
          <w:rFonts w:hint="eastAsia"/>
          <w:szCs w:val="21"/>
        </w:rPr>
        <w:t>”</w:t>
      </w:r>
      <w:r>
        <w:rPr>
          <w:rFonts w:hint="eastAsia" w:hAnsi="宋体"/>
          <w:szCs w:val="21"/>
        </w:rPr>
        <w:t>两字代替，不允许改动招标人要求值。如有差异，</w:t>
      </w:r>
      <w:r>
        <w:rPr>
          <w:rFonts w:hint="eastAsia" w:hAnsi="宋体"/>
          <w:color w:val="000000"/>
          <w:szCs w:val="21"/>
        </w:rPr>
        <w:t>请填写表</w:t>
      </w:r>
      <w:r>
        <w:rPr>
          <w:rFonts w:hint="eastAsia"/>
          <w:color w:val="000000"/>
          <w:szCs w:val="21"/>
        </w:rPr>
        <w:t>9</w:t>
      </w:r>
      <w:r>
        <w:rPr>
          <w:rFonts w:hint="eastAsia" w:hAnsi="宋体"/>
          <w:color w:val="000000"/>
          <w:szCs w:val="21"/>
        </w:rPr>
        <w:t>投标人技术偏差表。</w:t>
      </w:r>
    </w:p>
    <w:p>
      <w:pPr>
        <w:pStyle w:val="16"/>
      </w:pPr>
      <w:r>
        <w:rPr>
          <w:rFonts w:hint="eastAsia"/>
        </w:rPr>
        <w:t>表1　电能质量在线监测装置标准技术参数表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46"/>
        <w:gridCol w:w="2728"/>
        <w:gridCol w:w="468"/>
        <w:gridCol w:w="2346"/>
        <w:gridCol w:w="1224"/>
        <w:gridCol w:w="11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t>序号</w:t>
            </w:r>
          </w:p>
        </w:tc>
        <w:tc>
          <w:tcPr>
            <w:tcW w:w="2728" w:type="dxa"/>
            <w:tcMar>
              <w:left w:w="0" w:type="dxa"/>
              <w:right w:w="0" w:type="dxa"/>
            </w:tcMar>
            <w:vAlign w:val="center"/>
          </w:tcPr>
          <w:p>
            <w:pPr>
              <w:pStyle w:val="20"/>
              <w:spacing w:before="64" w:after="64"/>
            </w:pPr>
            <w:r>
              <w:t>参</w:t>
            </w:r>
            <w:r>
              <w:rPr>
                <w:rFonts w:hint="eastAsia"/>
              </w:rPr>
              <w:t xml:space="preserve">  </w:t>
            </w:r>
            <w:r>
              <w:t>数</w:t>
            </w:r>
            <w:r>
              <w:rPr>
                <w:rFonts w:hint="eastAsia"/>
              </w:rPr>
              <w:t xml:space="preserve">  </w:t>
            </w:r>
            <w:r>
              <w:t>名</w:t>
            </w:r>
            <w:r>
              <w:rPr>
                <w:rFonts w:hint="eastAsia"/>
              </w:rPr>
              <w:t xml:space="preserve">  </w:t>
            </w:r>
            <w:r>
              <w:t>称</w:t>
            </w:r>
          </w:p>
        </w:tc>
        <w:tc>
          <w:tcPr>
            <w:tcW w:w="468" w:type="dxa"/>
            <w:tcMar>
              <w:left w:w="0" w:type="dxa"/>
              <w:right w:w="0" w:type="dxa"/>
            </w:tcMar>
            <w:vAlign w:val="center"/>
          </w:tcPr>
          <w:p>
            <w:pPr>
              <w:pStyle w:val="20"/>
              <w:spacing w:before="64" w:after="64"/>
            </w:pPr>
            <w:r>
              <w:t>单位</w:t>
            </w:r>
          </w:p>
        </w:tc>
        <w:tc>
          <w:tcPr>
            <w:tcW w:w="2346" w:type="dxa"/>
            <w:tcMar>
              <w:left w:w="0" w:type="dxa"/>
              <w:right w:w="0" w:type="dxa"/>
            </w:tcMar>
            <w:vAlign w:val="center"/>
          </w:tcPr>
          <w:p>
            <w:pPr>
              <w:pStyle w:val="20"/>
              <w:spacing w:before="64" w:after="64"/>
            </w:pPr>
            <w:r>
              <w:rPr>
                <w:rFonts w:hint="eastAsia"/>
              </w:rPr>
              <w:t>标 准 参 数 值</w:t>
            </w:r>
          </w:p>
        </w:tc>
        <w:tc>
          <w:tcPr>
            <w:tcW w:w="1224" w:type="dxa"/>
            <w:tcMar>
              <w:left w:w="0" w:type="dxa"/>
              <w:right w:w="0" w:type="dxa"/>
            </w:tcMar>
            <w:vAlign w:val="center"/>
          </w:tcPr>
          <w:p>
            <w:pPr>
              <w:pStyle w:val="20"/>
              <w:spacing w:before="64" w:after="64"/>
            </w:pPr>
            <w:r>
              <w:rPr>
                <w:rFonts w:hint="eastAsia"/>
              </w:rPr>
              <w:t>招标人需求值</w:t>
            </w:r>
          </w:p>
        </w:tc>
        <w:tc>
          <w:tcPr>
            <w:tcW w:w="1114" w:type="dxa"/>
            <w:tcMar>
              <w:left w:w="0" w:type="dxa"/>
              <w:right w:w="0" w:type="dxa"/>
            </w:tcMar>
            <w:vAlign w:val="center"/>
          </w:tcPr>
          <w:p>
            <w:pPr>
              <w:pStyle w:val="20"/>
              <w:spacing w:before="64" w:after="64"/>
            </w:pPr>
            <w:r>
              <w:rPr>
                <w:rFonts w:hint="eastAsia"/>
              </w:rPr>
              <w:t>投标人保证值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1</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交流电压回路过载能力</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r>
              <w:rPr>
                <w:rFonts w:hint="eastAsia"/>
              </w:rPr>
              <w:t>额定电压的</w:t>
            </w:r>
            <w:r>
              <w:rPr>
                <w:position w:val="-6"/>
              </w:rPr>
              <w:object>
                <v:shape id="_x0000_i1026" o:spt="75" type="#_x0000_t75" style="height:14.25pt;width:15pt;" o:ole="t" filled="f" o:preferrelative="t" stroked="f" coordsize="21600,21600">
                  <v:path/>
                  <v:fill on="f" focussize="0,0"/>
                  <v:stroke on="f" joinstyle="miter"/>
                  <v:imagedata r:id="rId7" o:title=""/>
                  <o:lock v:ext="edit" aspectratio="t"/>
                  <w10:wrap type="none"/>
                  <w10:anchorlock/>
                </v:shape>
                <o:OLEObject Type="Embed" ProgID="Equation.DSMT4" ShapeID="_x0000_i1026" DrawAspect="Content" ObjectID="_1468075726" r:id="rId6">
                  <o:LockedField>false</o:LockedField>
                </o:OLEObject>
              </w:object>
            </w:r>
            <w:r>
              <w:rPr>
                <w:rFonts w:hint="eastAsia"/>
              </w:rPr>
              <w:t>倍</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2</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交流电流回路过载能力</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r>
              <w:rPr>
                <w:rFonts w:hint="eastAsia"/>
              </w:rPr>
              <w:t>1.2</w:t>
            </w:r>
            <w:r>
              <w:rPr>
                <w:rFonts w:hint="eastAsia"/>
                <w:i/>
              </w:rPr>
              <w:t>I</w:t>
            </w:r>
            <w:r>
              <w:rPr>
                <w:vertAlign w:val="subscript"/>
              </w:rPr>
              <w:t>N</w:t>
            </w:r>
            <w:r>
              <w:rPr>
                <w:rFonts w:hint="eastAsia"/>
              </w:rPr>
              <w:t>，连续工作；2</w:t>
            </w:r>
            <w:r>
              <w:rPr>
                <w:rFonts w:hint="eastAsia"/>
                <w:i/>
              </w:rPr>
              <w:t>I</w:t>
            </w:r>
            <w:r>
              <w:rPr>
                <w:vertAlign w:val="subscript"/>
              </w:rPr>
              <w:t>N</w:t>
            </w:r>
            <w:r>
              <w:rPr>
                <w:rFonts w:hint="eastAsia"/>
              </w:rPr>
              <w:t>，1s</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3</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交流电压回路功率损耗（每相）</w:t>
            </w:r>
          </w:p>
        </w:tc>
        <w:tc>
          <w:tcPr>
            <w:tcW w:w="468" w:type="dxa"/>
            <w:tcMar>
              <w:left w:w="0" w:type="dxa"/>
              <w:right w:w="0" w:type="dxa"/>
            </w:tcMar>
            <w:vAlign w:val="center"/>
          </w:tcPr>
          <w:p>
            <w:pPr>
              <w:pStyle w:val="20"/>
              <w:spacing w:before="64" w:after="64"/>
            </w:pPr>
            <w:r>
              <w:rPr>
                <w:rFonts w:hint="eastAsia"/>
              </w:rPr>
              <w:t>VA</w:t>
            </w:r>
          </w:p>
        </w:tc>
        <w:tc>
          <w:tcPr>
            <w:tcW w:w="2346" w:type="dxa"/>
            <w:tcMar>
              <w:left w:w="0" w:type="dxa"/>
              <w:right w:w="0" w:type="dxa"/>
            </w:tcMar>
            <w:vAlign w:val="center"/>
          </w:tcPr>
          <w:p>
            <w:pPr>
              <w:pStyle w:val="20"/>
              <w:spacing w:before="64" w:after="64"/>
            </w:pPr>
            <w:r>
              <w:rPr>
                <w:rFonts w:hint="eastAsia"/>
              </w:rPr>
              <w:t>≤0.75</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4</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交流电流回路功率损耗（每相）</w:t>
            </w:r>
          </w:p>
        </w:tc>
        <w:tc>
          <w:tcPr>
            <w:tcW w:w="468" w:type="dxa"/>
            <w:tcMar>
              <w:left w:w="0" w:type="dxa"/>
              <w:right w:w="0" w:type="dxa"/>
            </w:tcMar>
            <w:vAlign w:val="center"/>
          </w:tcPr>
          <w:p>
            <w:pPr>
              <w:pStyle w:val="20"/>
              <w:spacing w:before="64" w:after="64"/>
            </w:pPr>
            <w:r>
              <w:rPr>
                <w:rFonts w:hint="eastAsia"/>
              </w:rPr>
              <w:t>VA</w:t>
            </w:r>
          </w:p>
        </w:tc>
        <w:tc>
          <w:tcPr>
            <w:tcW w:w="2346" w:type="dxa"/>
            <w:tcMar>
              <w:left w:w="0" w:type="dxa"/>
              <w:right w:w="0" w:type="dxa"/>
            </w:tcMar>
            <w:vAlign w:val="center"/>
          </w:tcPr>
          <w:p>
            <w:pPr>
              <w:pStyle w:val="20"/>
              <w:spacing w:before="64" w:after="64"/>
              <w:rPr>
                <w:spacing w:val="-8"/>
              </w:rPr>
            </w:pPr>
            <w:r>
              <w:rPr>
                <w:rFonts w:hint="eastAsia"/>
                <w:spacing w:val="-8"/>
              </w:rPr>
              <w:t>≤0.5（</w:t>
            </w:r>
            <w:r>
              <w:rPr>
                <w:rFonts w:hint="eastAsia"/>
                <w:i/>
                <w:spacing w:val="-8"/>
              </w:rPr>
              <w:t>I</w:t>
            </w:r>
            <w:r>
              <w:rPr>
                <w:spacing w:val="-8"/>
                <w:vertAlign w:val="subscript"/>
              </w:rPr>
              <w:t>N</w:t>
            </w:r>
            <w:r>
              <w:rPr>
                <w:rFonts w:hint="eastAsia"/>
                <w:spacing w:val="-8"/>
              </w:rPr>
              <w:t>=1A），≤0.75（</w:t>
            </w:r>
            <w:r>
              <w:rPr>
                <w:rFonts w:hint="eastAsia"/>
                <w:i/>
                <w:spacing w:val="-8"/>
              </w:rPr>
              <w:t>I</w:t>
            </w:r>
            <w:r>
              <w:rPr>
                <w:spacing w:val="-8"/>
                <w:vertAlign w:val="subscript"/>
              </w:rPr>
              <w:t>N</w:t>
            </w:r>
            <w:r>
              <w:rPr>
                <w:rFonts w:hint="eastAsia"/>
                <w:spacing w:val="-8"/>
              </w:rPr>
              <w:t>=5A）</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5</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基波电压、电流误差</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r>
              <w:rPr>
                <w:rFonts w:hint="eastAsia"/>
              </w:rPr>
              <w:t>≤</w:t>
            </w:r>
            <w:r>
              <w:t>0.2％</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6</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电压偏差误差</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r>
              <w:rPr>
                <w:rFonts w:hint="eastAsia"/>
              </w:rPr>
              <w:t>≤</w:t>
            </w:r>
            <w:r>
              <w:t>0.</w:t>
            </w:r>
            <w:r>
              <w:rPr>
                <w:rFonts w:hint="eastAsia"/>
              </w:rPr>
              <w:t>5</w:t>
            </w:r>
            <w:r>
              <w:t>％</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7</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频率偏差误差</w:t>
            </w:r>
          </w:p>
        </w:tc>
        <w:tc>
          <w:tcPr>
            <w:tcW w:w="468" w:type="dxa"/>
            <w:tcMar>
              <w:left w:w="0" w:type="dxa"/>
              <w:right w:w="0" w:type="dxa"/>
            </w:tcMar>
            <w:vAlign w:val="center"/>
          </w:tcPr>
          <w:p>
            <w:pPr>
              <w:pStyle w:val="20"/>
              <w:spacing w:before="64" w:after="64"/>
            </w:pPr>
            <w:r>
              <w:rPr>
                <w:rFonts w:hint="eastAsia"/>
              </w:rPr>
              <w:t>Hz</w:t>
            </w:r>
          </w:p>
        </w:tc>
        <w:tc>
          <w:tcPr>
            <w:tcW w:w="2346" w:type="dxa"/>
            <w:tcMar>
              <w:left w:w="0" w:type="dxa"/>
              <w:right w:w="0" w:type="dxa"/>
            </w:tcMar>
            <w:vAlign w:val="center"/>
          </w:tcPr>
          <w:p>
            <w:pPr>
              <w:pStyle w:val="20"/>
              <w:spacing w:before="64" w:after="64"/>
            </w:pPr>
            <w:r>
              <w:rPr>
                <w:rFonts w:hint="eastAsia"/>
              </w:rPr>
              <w:t>≤±0.01</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8</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三相电压不平衡度误差</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r>
              <w:rPr>
                <w:rFonts w:hint="eastAsia"/>
              </w:rPr>
              <w:t>≤</w:t>
            </w:r>
            <w:r>
              <w:t>0.2％</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9</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三相电流不平衡度误差</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r>
              <w:rPr>
                <w:rFonts w:hint="eastAsia"/>
              </w:rPr>
              <w:t>≤0.5</w:t>
            </w:r>
            <w:r>
              <w:t>％</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10</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闪变误差</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r>
              <w:rPr>
                <w:rFonts w:hint="eastAsia"/>
              </w:rPr>
              <w:t>≤5</w:t>
            </w:r>
            <w:r>
              <w:t>％</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11</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电压波动误差</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r>
              <w:rPr>
                <w:rFonts w:hint="eastAsia"/>
              </w:rPr>
              <w:t>≤5</w:t>
            </w:r>
            <w:r>
              <w:t>％</w:t>
            </w:r>
          </w:p>
        </w:tc>
        <w:tc>
          <w:tcPr>
            <w:tcW w:w="1224" w:type="dxa"/>
            <w:tcBorders>
              <w:tr2bl w:val="single" w:color="auto" w:sz="4" w:space="0"/>
            </w:tcBorders>
            <w:tcMar>
              <w:left w:w="0" w:type="dxa"/>
              <w:right w:w="0" w:type="dxa"/>
            </w:tcMar>
            <w:vAlign w:val="center"/>
          </w:tcPr>
          <w:p>
            <w:pPr>
              <w:pStyle w:val="20"/>
              <w:spacing w:before="64" w:after="64"/>
            </w:pP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12</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谐波次数</w:t>
            </w:r>
          </w:p>
        </w:tc>
        <w:tc>
          <w:tcPr>
            <w:tcW w:w="468" w:type="dxa"/>
            <w:tcMar>
              <w:left w:w="0" w:type="dxa"/>
              <w:right w:w="0" w:type="dxa"/>
            </w:tcMar>
            <w:vAlign w:val="center"/>
          </w:tcPr>
          <w:p>
            <w:pPr>
              <w:pStyle w:val="20"/>
              <w:spacing w:before="64" w:after="64"/>
            </w:pPr>
            <w:r>
              <w:rPr>
                <w:rFonts w:hint="eastAsia"/>
              </w:rPr>
              <w:t>次</w:t>
            </w:r>
          </w:p>
        </w:tc>
        <w:tc>
          <w:tcPr>
            <w:tcW w:w="2346" w:type="dxa"/>
            <w:tcMar>
              <w:left w:w="0" w:type="dxa"/>
              <w:right w:w="0" w:type="dxa"/>
            </w:tcMar>
            <w:vAlign w:val="center"/>
          </w:tcPr>
          <w:p>
            <w:pPr>
              <w:pStyle w:val="20"/>
              <w:spacing w:before="64" w:after="64"/>
            </w:pPr>
            <w:r>
              <w:rPr>
                <w:rFonts w:hint="eastAsia"/>
              </w:rPr>
              <w:t>≥15</w:t>
            </w:r>
          </w:p>
        </w:tc>
        <w:tc>
          <w:tcPr>
            <w:tcW w:w="1224" w:type="dxa"/>
            <w:tcMar>
              <w:left w:w="0" w:type="dxa"/>
              <w:right w:w="0" w:type="dxa"/>
            </w:tcMar>
            <w:vAlign w:val="center"/>
          </w:tcPr>
          <w:p>
            <w:pPr>
              <w:pStyle w:val="20"/>
              <w:spacing w:before="64" w:after="64"/>
            </w:pPr>
            <w:r>
              <w:rPr>
                <w:rFonts w:hint="eastAsia"/>
              </w:rPr>
              <w:t>（招标人填写）</w:t>
            </w: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13</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存储容量</w:t>
            </w:r>
          </w:p>
        </w:tc>
        <w:tc>
          <w:tcPr>
            <w:tcW w:w="468" w:type="dxa"/>
            <w:tcMar>
              <w:left w:w="0" w:type="dxa"/>
              <w:right w:w="0" w:type="dxa"/>
            </w:tcMar>
            <w:vAlign w:val="center"/>
          </w:tcPr>
          <w:p>
            <w:pPr>
              <w:pStyle w:val="20"/>
              <w:spacing w:before="64" w:after="64"/>
            </w:pPr>
            <w:r>
              <w:rPr>
                <w:rFonts w:hint="eastAsia"/>
              </w:rPr>
              <w:t>MB</w:t>
            </w:r>
          </w:p>
        </w:tc>
        <w:tc>
          <w:tcPr>
            <w:tcW w:w="2346" w:type="dxa"/>
            <w:tcBorders>
              <w:tr2bl w:val="single" w:color="auto" w:sz="4" w:space="0"/>
            </w:tcBorders>
            <w:tcMar>
              <w:left w:w="0" w:type="dxa"/>
              <w:right w:w="0" w:type="dxa"/>
            </w:tcMar>
            <w:vAlign w:val="center"/>
          </w:tcPr>
          <w:p>
            <w:pPr>
              <w:pStyle w:val="20"/>
              <w:spacing w:before="64" w:after="64"/>
            </w:pPr>
          </w:p>
        </w:tc>
        <w:tc>
          <w:tcPr>
            <w:tcW w:w="1224" w:type="dxa"/>
            <w:tcMar>
              <w:left w:w="0" w:type="dxa"/>
              <w:right w:w="0" w:type="dxa"/>
            </w:tcMar>
            <w:vAlign w:val="center"/>
          </w:tcPr>
          <w:p>
            <w:pPr>
              <w:pStyle w:val="20"/>
              <w:spacing w:before="64" w:after="64"/>
            </w:pPr>
            <w:r>
              <w:rPr>
                <w:rFonts w:hint="eastAsia"/>
              </w:rPr>
              <w:t>（招标人填写）</w:t>
            </w: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vMerge w:val="restart"/>
            <w:tcMar>
              <w:left w:w="0" w:type="dxa"/>
              <w:right w:w="0" w:type="dxa"/>
            </w:tcMar>
            <w:vAlign w:val="center"/>
          </w:tcPr>
          <w:p>
            <w:pPr>
              <w:pStyle w:val="20"/>
              <w:spacing w:before="64" w:after="64"/>
            </w:pPr>
            <w:r>
              <w:rPr>
                <w:rFonts w:hint="eastAsia"/>
              </w:rPr>
              <w:t>14</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通信接口</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ind w:left="42" w:leftChars="20" w:right="42" w:rightChars="20" w:firstLine="180" w:firstLineChars="100"/>
              <w:jc w:val="both"/>
            </w:pPr>
            <w:r>
              <w:rPr>
                <w:rFonts w:hint="eastAsia"/>
              </w:rPr>
              <w:t>以太网端口至少1个，RS232/ RS485接口至少1个</w:t>
            </w:r>
          </w:p>
        </w:tc>
        <w:tc>
          <w:tcPr>
            <w:tcW w:w="1224" w:type="dxa"/>
            <w:tcMar>
              <w:left w:w="0" w:type="dxa"/>
              <w:right w:w="0" w:type="dxa"/>
            </w:tcMar>
            <w:vAlign w:val="center"/>
          </w:tcPr>
          <w:p>
            <w:pPr>
              <w:pStyle w:val="20"/>
              <w:spacing w:before="64" w:after="64"/>
            </w:pPr>
            <w:r>
              <w:rPr>
                <w:rFonts w:hint="eastAsia"/>
              </w:rPr>
              <w:t>（招标人填写）</w:t>
            </w: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vMerge w:val="continue"/>
            <w:tcMar>
              <w:left w:w="0" w:type="dxa"/>
              <w:right w:w="0" w:type="dxa"/>
            </w:tcMar>
            <w:vAlign w:val="center"/>
          </w:tcPr>
          <w:p>
            <w:pPr>
              <w:pStyle w:val="20"/>
              <w:spacing w:before="64" w:after="64"/>
            </w:pP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本地维护接口</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ind w:left="42" w:leftChars="20" w:right="42" w:rightChars="20" w:firstLine="168" w:firstLineChars="100"/>
              <w:jc w:val="both"/>
            </w:pPr>
            <w:r>
              <w:rPr>
                <w:rFonts w:hint="eastAsia"/>
                <w:spacing w:val="-6"/>
              </w:rPr>
              <w:t>以太网端口1个或RS232/RS485</w:t>
            </w:r>
            <w:r>
              <w:rPr>
                <w:rFonts w:hint="eastAsia"/>
              </w:rPr>
              <w:t>接口1个</w:t>
            </w:r>
          </w:p>
        </w:tc>
        <w:tc>
          <w:tcPr>
            <w:tcW w:w="1224" w:type="dxa"/>
            <w:tcMar>
              <w:left w:w="0" w:type="dxa"/>
              <w:right w:w="0" w:type="dxa"/>
            </w:tcMar>
            <w:vAlign w:val="center"/>
          </w:tcPr>
          <w:p>
            <w:pPr>
              <w:pStyle w:val="20"/>
              <w:spacing w:before="64" w:after="64"/>
            </w:pPr>
            <w:r>
              <w:rPr>
                <w:rFonts w:hint="eastAsia"/>
              </w:rPr>
              <w:t>（招标人填写）</w:t>
            </w:r>
          </w:p>
        </w:tc>
        <w:tc>
          <w:tcPr>
            <w:tcW w:w="1114" w:type="dxa"/>
            <w:tcMar>
              <w:left w:w="0" w:type="dxa"/>
              <w:right w:w="0" w:type="dxa"/>
            </w:tcMar>
            <w:vAlign w:val="center"/>
          </w:tcPr>
          <w:p>
            <w:pPr>
              <w:pStyle w:val="20"/>
              <w:topLinePunct w:val="0"/>
              <w:spacing w:before="64" w:after="64"/>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6" w:type="dxa"/>
            <w:tcMar>
              <w:left w:w="0" w:type="dxa"/>
              <w:right w:w="0" w:type="dxa"/>
            </w:tcMar>
            <w:vAlign w:val="center"/>
          </w:tcPr>
          <w:p>
            <w:pPr>
              <w:pStyle w:val="20"/>
              <w:spacing w:before="64" w:after="64"/>
            </w:pPr>
            <w:r>
              <w:rPr>
                <w:rFonts w:hint="eastAsia"/>
              </w:rPr>
              <w:t>15</w:t>
            </w:r>
          </w:p>
        </w:tc>
        <w:tc>
          <w:tcPr>
            <w:tcW w:w="2728" w:type="dxa"/>
            <w:tcMar>
              <w:left w:w="0" w:type="dxa"/>
              <w:right w:w="0" w:type="dxa"/>
            </w:tcMar>
            <w:vAlign w:val="center"/>
          </w:tcPr>
          <w:p>
            <w:pPr>
              <w:pStyle w:val="20"/>
              <w:spacing w:before="64" w:after="64"/>
              <w:ind w:left="42" w:leftChars="20" w:right="42" w:rightChars="20" w:firstLine="180" w:firstLineChars="100"/>
              <w:jc w:val="both"/>
            </w:pPr>
            <w:r>
              <w:rPr>
                <w:rFonts w:hint="eastAsia"/>
              </w:rPr>
              <w:t>其他</w:t>
            </w:r>
          </w:p>
        </w:tc>
        <w:tc>
          <w:tcPr>
            <w:tcW w:w="468" w:type="dxa"/>
            <w:tcMar>
              <w:left w:w="0" w:type="dxa"/>
              <w:right w:w="0" w:type="dxa"/>
            </w:tcMar>
            <w:vAlign w:val="center"/>
          </w:tcPr>
          <w:p>
            <w:pPr>
              <w:pStyle w:val="20"/>
              <w:spacing w:before="64" w:after="64"/>
            </w:pPr>
          </w:p>
        </w:tc>
        <w:tc>
          <w:tcPr>
            <w:tcW w:w="2346" w:type="dxa"/>
            <w:tcMar>
              <w:left w:w="0" w:type="dxa"/>
              <w:right w:w="0" w:type="dxa"/>
            </w:tcMar>
            <w:vAlign w:val="center"/>
          </w:tcPr>
          <w:p>
            <w:pPr>
              <w:pStyle w:val="20"/>
              <w:spacing w:before="64" w:after="64"/>
            </w:pPr>
          </w:p>
        </w:tc>
        <w:tc>
          <w:tcPr>
            <w:tcW w:w="1224" w:type="dxa"/>
            <w:tcMar>
              <w:left w:w="0" w:type="dxa"/>
              <w:right w:w="0" w:type="dxa"/>
            </w:tcMar>
            <w:vAlign w:val="center"/>
          </w:tcPr>
          <w:p>
            <w:pPr>
              <w:pStyle w:val="20"/>
              <w:spacing w:before="64" w:after="64"/>
            </w:pPr>
          </w:p>
        </w:tc>
        <w:tc>
          <w:tcPr>
            <w:tcW w:w="1114" w:type="dxa"/>
            <w:tcMar>
              <w:left w:w="0" w:type="dxa"/>
              <w:right w:w="0" w:type="dxa"/>
            </w:tcMar>
            <w:vAlign w:val="center"/>
          </w:tcPr>
          <w:p>
            <w:pPr>
              <w:pStyle w:val="20"/>
              <w:spacing w:before="64" w:after="64"/>
            </w:pPr>
          </w:p>
        </w:tc>
      </w:tr>
    </w:tbl>
    <w:p>
      <w:pPr>
        <w:pStyle w:val="16"/>
      </w:pPr>
      <w:r>
        <w:rPr>
          <w:rFonts w:hint="eastAsia"/>
        </w:rPr>
        <w:t>表2　电能质量在线监测装置功能选择表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47"/>
        <w:gridCol w:w="2728"/>
        <w:gridCol w:w="863"/>
        <w:gridCol w:w="2145"/>
        <w:gridCol w:w="21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7" w:type="dxa"/>
            <w:tcMar>
              <w:left w:w="0" w:type="dxa"/>
              <w:right w:w="0" w:type="dxa"/>
            </w:tcMar>
            <w:vAlign w:val="center"/>
          </w:tcPr>
          <w:p>
            <w:pPr>
              <w:pStyle w:val="20"/>
              <w:spacing w:before="66" w:after="66"/>
            </w:pPr>
            <w:r>
              <w:t>序号</w:t>
            </w:r>
          </w:p>
        </w:tc>
        <w:tc>
          <w:tcPr>
            <w:tcW w:w="2728" w:type="dxa"/>
            <w:tcMar>
              <w:left w:w="0" w:type="dxa"/>
              <w:right w:w="0" w:type="dxa"/>
            </w:tcMar>
            <w:vAlign w:val="center"/>
          </w:tcPr>
          <w:p>
            <w:pPr>
              <w:pStyle w:val="20"/>
              <w:spacing w:before="66" w:after="66"/>
            </w:pPr>
            <w:r>
              <w:t>参</w:t>
            </w:r>
            <w:r>
              <w:rPr>
                <w:rFonts w:hint="eastAsia"/>
              </w:rPr>
              <w:t xml:space="preserve">  </w:t>
            </w:r>
            <w:r>
              <w:t>数</w:t>
            </w:r>
            <w:r>
              <w:rPr>
                <w:rFonts w:hint="eastAsia"/>
              </w:rPr>
              <w:t xml:space="preserve">  </w:t>
            </w:r>
            <w:r>
              <w:t>名</w:t>
            </w:r>
            <w:r>
              <w:rPr>
                <w:rFonts w:hint="eastAsia"/>
              </w:rPr>
              <w:t xml:space="preserve">  </w:t>
            </w:r>
            <w:r>
              <w:t>称</w:t>
            </w:r>
          </w:p>
        </w:tc>
        <w:tc>
          <w:tcPr>
            <w:tcW w:w="863" w:type="dxa"/>
            <w:tcMar>
              <w:left w:w="0" w:type="dxa"/>
              <w:right w:w="0" w:type="dxa"/>
            </w:tcMar>
            <w:vAlign w:val="center"/>
          </w:tcPr>
          <w:p>
            <w:pPr>
              <w:pStyle w:val="20"/>
              <w:spacing w:before="66" w:after="66"/>
            </w:pPr>
            <w:r>
              <w:t>单位</w:t>
            </w:r>
          </w:p>
        </w:tc>
        <w:tc>
          <w:tcPr>
            <w:tcW w:w="2145" w:type="dxa"/>
            <w:tcMar>
              <w:left w:w="0" w:type="dxa"/>
              <w:right w:w="0" w:type="dxa"/>
            </w:tcMar>
            <w:vAlign w:val="center"/>
          </w:tcPr>
          <w:p>
            <w:pPr>
              <w:pStyle w:val="20"/>
              <w:spacing w:before="66" w:after="66"/>
            </w:pPr>
            <w:r>
              <w:rPr>
                <w:rFonts w:hint="eastAsia"/>
              </w:rPr>
              <w:t>投标人可选项</w:t>
            </w:r>
          </w:p>
        </w:tc>
        <w:tc>
          <w:tcPr>
            <w:tcW w:w="2143" w:type="dxa"/>
            <w:tcMar>
              <w:left w:w="0" w:type="dxa"/>
              <w:right w:w="0" w:type="dxa"/>
            </w:tcMar>
            <w:vAlign w:val="center"/>
          </w:tcPr>
          <w:p>
            <w:pPr>
              <w:pStyle w:val="20"/>
              <w:spacing w:before="66" w:after="66"/>
            </w:pPr>
            <w:r>
              <w:rPr>
                <w:rFonts w:hint="eastAsia"/>
              </w:rPr>
              <w:t>投 标 人 响 应 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7" w:type="dxa"/>
            <w:tcMar>
              <w:left w:w="0" w:type="dxa"/>
              <w:right w:w="0" w:type="dxa"/>
            </w:tcMar>
            <w:vAlign w:val="center"/>
          </w:tcPr>
          <w:p>
            <w:pPr>
              <w:pStyle w:val="20"/>
              <w:spacing w:before="66" w:after="66"/>
            </w:pPr>
            <w:r>
              <w:rPr>
                <w:rFonts w:hint="eastAsia"/>
              </w:rPr>
              <w:t>1</w:t>
            </w:r>
          </w:p>
        </w:tc>
        <w:tc>
          <w:tcPr>
            <w:tcW w:w="2728" w:type="dxa"/>
            <w:tcMar>
              <w:left w:w="0" w:type="dxa"/>
              <w:right w:w="0" w:type="dxa"/>
            </w:tcMar>
          </w:tcPr>
          <w:p>
            <w:pPr>
              <w:pStyle w:val="20"/>
              <w:spacing w:before="66" w:after="66"/>
              <w:ind w:left="42" w:leftChars="20" w:right="42" w:rightChars="20" w:firstLine="180" w:firstLineChars="100"/>
              <w:jc w:val="both"/>
            </w:pPr>
            <w:r>
              <w:rPr>
                <w:rFonts w:hint="eastAsia"/>
              </w:rPr>
              <w:t>电压偏差</w:t>
            </w:r>
          </w:p>
        </w:tc>
        <w:tc>
          <w:tcPr>
            <w:tcW w:w="863" w:type="dxa"/>
            <w:tcMar>
              <w:left w:w="0" w:type="dxa"/>
              <w:right w:w="0" w:type="dxa"/>
            </w:tcMar>
            <w:vAlign w:val="center"/>
          </w:tcPr>
          <w:p>
            <w:pPr>
              <w:pStyle w:val="20"/>
              <w:spacing w:before="66" w:after="66"/>
            </w:pPr>
          </w:p>
        </w:tc>
        <w:tc>
          <w:tcPr>
            <w:tcW w:w="2145" w:type="dxa"/>
            <w:tcMar>
              <w:left w:w="0" w:type="dxa"/>
              <w:right w:w="0" w:type="dxa"/>
            </w:tcMar>
            <w:vAlign w:val="center"/>
          </w:tcPr>
          <w:p>
            <w:pPr>
              <w:pStyle w:val="20"/>
              <w:spacing w:before="66" w:after="66"/>
              <w:rPr>
                <w:color w:val="000000"/>
              </w:rPr>
            </w:pPr>
            <w:r>
              <w:rPr>
                <w:rFonts w:hint="eastAsia"/>
                <w:color w:val="000000"/>
              </w:rPr>
              <w:t>√</w:t>
            </w:r>
          </w:p>
        </w:tc>
        <w:tc>
          <w:tcPr>
            <w:tcW w:w="2143" w:type="dxa"/>
            <w:tcMar>
              <w:left w:w="0" w:type="dxa"/>
              <w:right w:w="0" w:type="dxa"/>
            </w:tcMar>
            <w:vAlign w:val="center"/>
          </w:tcPr>
          <w:p>
            <w:pPr>
              <w:pStyle w:val="20"/>
              <w:spacing w:before="66" w:after="66"/>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7" w:type="dxa"/>
            <w:tcMar>
              <w:left w:w="0" w:type="dxa"/>
              <w:right w:w="0" w:type="dxa"/>
            </w:tcMar>
            <w:vAlign w:val="center"/>
          </w:tcPr>
          <w:p>
            <w:pPr>
              <w:pStyle w:val="20"/>
              <w:spacing w:before="66" w:after="66"/>
            </w:pPr>
            <w:r>
              <w:rPr>
                <w:rFonts w:hint="eastAsia"/>
              </w:rPr>
              <w:t>2</w:t>
            </w:r>
          </w:p>
        </w:tc>
        <w:tc>
          <w:tcPr>
            <w:tcW w:w="2728" w:type="dxa"/>
            <w:tcMar>
              <w:left w:w="0" w:type="dxa"/>
              <w:right w:w="0" w:type="dxa"/>
            </w:tcMar>
          </w:tcPr>
          <w:p>
            <w:pPr>
              <w:pStyle w:val="20"/>
              <w:spacing w:before="66" w:after="66"/>
              <w:ind w:left="42" w:leftChars="20" w:right="42" w:rightChars="20" w:firstLine="180" w:firstLineChars="100"/>
              <w:jc w:val="both"/>
            </w:pPr>
            <w:r>
              <w:rPr>
                <w:rFonts w:hint="eastAsia"/>
              </w:rPr>
              <w:t>频率偏差</w:t>
            </w:r>
          </w:p>
        </w:tc>
        <w:tc>
          <w:tcPr>
            <w:tcW w:w="863" w:type="dxa"/>
            <w:tcMar>
              <w:left w:w="0" w:type="dxa"/>
              <w:right w:w="0" w:type="dxa"/>
            </w:tcMar>
            <w:vAlign w:val="center"/>
          </w:tcPr>
          <w:p>
            <w:pPr>
              <w:pStyle w:val="20"/>
              <w:spacing w:before="66" w:after="66"/>
            </w:pPr>
          </w:p>
        </w:tc>
        <w:tc>
          <w:tcPr>
            <w:tcW w:w="2145" w:type="dxa"/>
            <w:tcMar>
              <w:left w:w="0" w:type="dxa"/>
              <w:right w:w="0" w:type="dxa"/>
            </w:tcMar>
            <w:vAlign w:val="center"/>
          </w:tcPr>
          <w:p>
            <w:pPr>
              <w:pStyle w:val="20"/>
              <w:spacing w:before="66" w:after="66"/>
              <w:rPr>
                <w:color w:val="000000"/>
              </w:rPr>
            </w:pPr>
            <w:r>
              <w:rPr>
                <w:rFonts w:hint="eastAsia"/>
                <w:color w:val="000000"/>
              </w:rPr>
              <w:t>√</w:t>
            </w:r>
          </w:p>
        </w:tc>
        <w:tc>
          <w:tcPr>
            <w:tcW w:w="2143" w:type="dxa"/>
            <w:tcMar>
              <w:left w:w="0" w:type="dxa"/>
              <w:right w:w="0" w:type="dxa"/>
            </w:tcMar>
          </w:tcPr>
          <w:p>
            <w:pPr>
              <w:pStyle w:val="20"/>
              <w:spacing w:before="66" w:after="66"/>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7" w:type="dxa"/>
            <w:tcMar>
              <w:left w:w="0" w:type="dxa"/>
              <w:right w:w="0" w:type="dxa"/>
            </w:tcMar>
            <w:vAlign w:val="center"/>
          </w:tcPr>
          <w:p>
            <w:pPr>
              <w:pStyle w:val="20"/>
              <w:spacing w:before="66" w:after="66"/>
            </w:pPr>
            <w:r>
              <w:rPr>
                <w:rFonts w:hint="eastAsia"/>
              </w:rPr>
              <w:t>3</w:t>
            </w:r>
          </w:p>
        </w:tc>
        <w:tc>
          <w:tcPr>
            <w:tcW w:w="2728" w:type="dxa"/>
            <w:tcMar>
              <w:left w:w="0" w:type="dxa"/>
              <w:right w:w="0" w:type="dxa"/>
            </w:tcMar>
          </w:tcPr>
          <w:p>
            <w:pPr>
              <w:pStyle w:val="20"/>
              <w:spacing w:before="66" w:after="66"/>
              <w:ind w:left="42" w:leftChars="20" w:right="42" w:rightChars="20" w:firstLine="180" w:firstLineChars="100"/>
              <w:jc w:val="both"/>
            </w:pPr>
            <w:r>
              <w:rPr>
                <w:rFonts w:hint="eastAsia"/>
              </w:rPr>
              <w:t>三相不平衡度</w:t>
            </w:r>
          </w:p>
        </w:tc>
        <w:tc>
          <w:tcPr>
            <w:tcW w:w="863" w:type="dxa"/>
            <w:tcMar>
              <w:left w:w="0" w:type="dxa"/>
              <w:right w:w="0" w:type="dxa"/>
            </w:tcMar>
            <w:vAlign w:val="center"/>
          </w:tcPr>
          <w:p>
            <w:pPr>
              <w:pStyle w:val="20"/>
              <w:spacing w:before="66" w:after="66"/>
            </w:pPr>
          </w:p>
        </w:tc>
        <w:tc>
          <w:tcPr>
            <w:tcW w:w="2145" w:type="dxa"/>
            <w:tcMar>
              <w:left w:w="0" w:type="dxa"/>
              <w:right w:w="0" w:type="dxa"/>
            </w:tcMar>
            <w:vAlign w:val="center"/>
          </w:tcPr>
          <w:p>
            <w:pPr>
              <w:pStyle w:val="20"/>
              <w:spacing w:before="66" w:after="66"/>
              <w:rPr>
                <w:color w:val="000000"/>
              </w:rPr>
            </w:pPr>
            <w:r>
              <w:rPr>
                <w:rFonts w:hint="eastAsia"/>
                <w:color w:val="000000"/>
              </w:rPr>
              <w:t>√</w:t>
            </w:r>
          </w:p>
        </w:tc>
        <w:tc>
          <w:tcPr>
            <w:tcW w:w="2143" w:type="dxa"/>
            <w:tcMar>
              <w:left w:w="0" w:type="dxa"/>
              <w:right w:w="0" w:type="dxa"/>
            </w:tcMar>
          </w:tcPr>
          <w:p>
            <w:pPr>
              <w:pStyle w:val="20"/>
              <w:spacing w:before="66" w:after="66"/>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7" w:type="dxa"/>
            <w:tcMar>
              <w:left w:w="0" w:type="dxa"/>
              <w:right w:w="0" w:type="dxa"/>
            </w:tcMar>
            <w:vAlign w:val="center"/>
          </w:tcPr>
          <w:p>
            <w:pPr>
              <w:pStyle w:val="20"/>
              <w:spacing w:before="66" w:after="66"/>
            </w:pPr>
            <w:r>
              <w:rPr>
                <w:rFonts w:hint="eastAsia"/>
              </w:rPr>
              <w:t>4</w:t>
            </w:r>
          </w:p>
        </w:tc>
        <w:tc>
          <w:tcPr>
            <w:tcW w:w="2728" w:type="dxa"/>
            <w:tcMar>
              <w:left w:w="0" w:type="dxa"/>
              <w:right w:w="0" w:type="dxa"/>
            </w:tcMar>
          </w:tcPr>
          <w:p>
            <w:pPr>
              <w:pStyle w:val="20"/>
              <w:spacing w:before="66" w:after="66"/>
              <w:ind w:left="42" w:leftChars="20" w:right="42" w:rightChars="20" w:firstLine="180" w:firstLineChars="100"/>
              <w:jc w:val="both"/>
            </w:pPr>
            <w:r>
              <w:rPr>
                <w:rFonts w:hint="eastAsia"/>
              </w:rPr>
              <w:t>负序电流</w:t>
            </w:r>
          </w:p>
        </w:tc>
        <w:tc>
          <w:tcPr>
            <w:tcW w:w="863" w:type="dxa"/>
            <w:tcMar>
              <w:left w:w="0" w:type="dxa"/>
              <w:right w:w="0" w:type="dxa"/>
            </w:tcMar>
            <w:vAlign w:val="center"/>
          </w:tcPr>
          <w:p>
            <w:pPr>
              <w:pStyle w:val="20"/>
              <w:spacing w:before="66" w:after="66"/>
            </w:pPr>
          </w:p>
        </w:tc>
        <w:tc>
          <w:tcPr>
            <w:tcW w:w="2145" w:type="dxa"/>
            <w:tcMar>
              <w:left w:w="0" w:type="dxa"/>
              <w:right w:w="0" w:type="dxa"/>
            </w:tcMar>
            <w:vAlign w:val="center"/>
          </w:tcPr>
          <w:p>
            <w:pPr>
              <w:pStyle w:val="20"/>
              <w:spacing w:before="66" w:after="66"/>
            </w:pPr>
            <w:r>
              <w:rPr>
                <w:rFonts w:hint="eastAsia"/>
                <w:color w:val="000000"/>
              </w:rPr>
              <w:t>√</w:t>
            </w:r>
          </w:p>
        </w:tc>
        <w:tc>
          <w:tcPr>
            <w:tcW w:w="2143" w:type="dxa"/>
            <w:tcMar>
              <w:left w:w="0" w:type="dxa"/>
              <w:right w:w="0" w:type="dxa"/>
            </w:tcMar>
          </w:tcPr>
          <w:p>
            <w:pPr>
              <w:pStyle w:val="20"/>
              <w:spacing w:before="66" w:after="66"/>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7" w:type="dxa"/>
            <w:tcMar>
              <w:left w:w="0" w:type="dxa"/>
              <w:right w:w="0" w:type="dxa"/>
            </w:tcMar>
            <w:vAlign w:val="center"/>
          </w:tcPr>
          <w:p>
            <w:pPr>
              <w:pStyle w:val="20"/>
              <w:spacing w:before="66" w:after="66"/>
            </w:pPr>
            <w:r>
              <w:rPr>
                <w:rFonts w:hint="eastAsia"/>
              </w:rPr>
              <w:t>5</w:t>
            </w:r>
          </w:p>
        </w:tc>
        <w:tc>
          <w:tcPr>
            <w:tcW w:w="2728" w:type="dxa"/>
            <w:tcMar>
              <w:left w:w="0" w:type="dxa"/>
              <w:right w:w="0" w:type="dxa"/>
            </w:tcMar>
          </w:tcPr>
          <w:p>
            <w:pPr>
              <w:pStyle w:val="20"/>
              <w:spacing w:before="66" w:after="66"/>
              <w:ind w:left="42" w:leftChars="20" w:right="42" w:rightChars="20" w:firstLine="180" w:firstLineChars="100"/>
              <w:jc w:val="both"/>
            </w:pPr>
            <w:r>
              <w:rPr>
                <w:rFonts w:hint="eastAsia"/>
              </w:rPr>
              <w:t>谐波</w:t>
            </w:r>
          </w:p>
        </w:tc>
        <w:tc>
          <w:tcPr>
            <w:tcW w:w="863" w:type="dxa"/>
            <w:tcMar>
              <w:left w:w="0" w:type="dxa"/>
              <w:right w:w="0" w:type="dxa"/>
            </w:tcMar>
            <w:vAlign w:val="center"/>
          </w:tcPr>
          <w:p>
            <w:pPr>
              <w:pStyle w:val="20"/>
              <w:spacing w:before="66" w:after="66"/>
            </w:pPr>
          </w:p>
        </w:tc>
        <w:tc>
          <w:tcPr>
            <w:tcW w:w="2145" w:type="dxa"/>
            <w:tcMar>
              <w:left w:w="0" w:type="dxa"/>
              <w:right w:w="0" w:type="dxa"/>
            </w:tcMar>
            <w:vAlign w:val="center"/>
          </w:tcPr>
          <w:p>
            <w:pPr>
              <w:pStyle w:val="20"/>
              <w:spacing w:before="66" w:after="66"/>
              <w:rPr>
                <w:color w:val="000000"/>
              </w:rPr>
            </w:pPr>
            <w:r>
              <w:rPr>
                <w:rFonts w:hint="eastAsia"/>
                <w:color w:val="000000"/>
              </w:rPr>
              <w:t>√</w:t>
            </w:r>
          </w:p>
        </w:tc>
        <w:tc>
          <w:tcPr>
            <w:tcW w:w="2143" w:type="dxa"/>
            <w:tcMar>
              <w:left w:w="0" w:type="dxa"/>
              <w:right w:w="0" w:type="dxa"/>
            </w:tcMar>
          </w:tcPr>
          <w:p>
            <w:pPr>
              <w:pStyle w:val="20"/>
              <w:spacing w:before="66" w:after="66"/>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7" w:type="dxa"/>
            <w:tcMar>
              <w:left w:w="0" w:type="dxa"/>
              <w:right w:w="0" w:type="dxa"/>
            </w:tcMar>
            <w:vAlign w:val="center"/>
          </w:tcPr>
          <w:p>
            <w:pPr>
              <w:pStyle w:val="20"/>
              <w:spacing w:before="66" w:after="66"/>
            </w:pPr>
            <w:r>
              <w:rPr>
                <w:rFonts w:hint="eastAsia"/>
              </w:rPr>
              <w:t>6</w:t>
            </w:r>
          </w:p>
        </w:tc>
        <w:tc>
          <w:tcPr>
            <w:tcW w:w="2728" w:type="dxa"/>
            <w:tcMar>
              <w:left w:w="0" w:type="dxa"/>
              <w:right w:w="0" w:type="dxa"/>
            </w:tcMar>
          </w:tcPr>
          <w:p>
            <w:pPr>
              <w:pStyle w:val="20"/>
              <w:spacing w:before="66" w:after="66"/>
              <w:ind w:left="42" w:leftChars="20" w:right="42" w:rightChars="20" w:firstLine="180" w:firstLineChars="100"/>
              <w:jc w:val="both"/>
            </w:pPr>
            <w:r>
              <w:rPr>
                <w:rFonts w:hint="eastAsia"/>
              </w:rPr>
              <w:t>电压波动</w:t>
            </w:r>
          </w:p>
        </w:tc>
        <w:tc>
          <w:tcPr>
            <w:tcW w:w="863" w:type="dxa"/>
            <w:tcMar>
              <w:left w:w="0" w:type="dxa"/>
              <w:right w:w="0" w:type="dxa"/>
            </w:tcMar>
            <w:vAlign w:val="center"/>
          </w:tcPr>
          <w:p>
            <w:pPr>
              <w:pStyle w:val="20"/>
              <w:spacing w:before="66" w:after="66"/>
            </w:pPr>
          </w:p>
        </w:tc>
        <w:tc>
          <w:tcPr>
            <w:tcW w:w="2145" w:type="dxa"/>
            <w:tcMar>
              <w:left w:w="0" w:type="dxa"/>
              <w:right w:w="0" w:type="dxa"/>
            </w:tcMar>
            <w:vAlign w:val="center"/>
          </w:tcPr>
          <w:p>
            <w:pPr>
              <w:pStyle w:val="20"/>
              <w:spacing w:before="66" w:after="66"/>
              <w:rPr>
                <w:color w:val="000000"/>
              </w:rPr>
            </w:pPr>
            <w:r>
              <w:rPr>
                <w:rFonts w:hint="eastAsia"/>
                <w:color w:val="000000"/>
              </w:rPr>
              <w:t>√</w:t>
            </w:r>
          </w:p>
        </w:tc>
        <w:tc>
          <w:tcPr>
            <w:tcW w:w="2143" w:type="dxa"/>
            <w:tcMar>
              <w:left w:w="0" w:type="dxa"/>
              <w:right w:w="0" w:type="dxa"/>
            </w:tcMar>
          </w:tcPr>
          <w:p>
            <w:pPr>
              <w:pStyle w:val="20"/>
              <w:spacing w:before="66" w:after="66"/>
            </w:pPr>
            <w:r>
              <w:rPr>
                <w:rFonts w:hint="eastAsia"/>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7" w:type="dxa"/>
            <w:tcMar>
              <w:left w:w="0" w:type="dxa"/>
              <w:right w:w="0" w:type="dxa"/>
            </w:tcMar>
            <w:vAlign w:val="center"/>
          </w:tcPr>
          <w:p>
            <w:pPr>
              <w:pStyle w:val="20"/>
              <w:spacing w:before="66" w:after="66"/>
            </w:pPr>
            <w:r>
              <w:rPr>
                <w:rFonts w:hint="eastAsia"/>
              </w:rPr>
              <w:t>7</w:t>
            </w:r>
          </w:p>
        </w:tc>
        <w:tc>
          <w:tcPr>
            <w:tcW w:w="2728" w:type="dxa"/>
            <w:tcMar>
              <w:left w:w="0" w:type="dxa"/>
              <w:right w:w="0" w:type="dxa"/>
            </w:tcMar>
          </w:tcPr>
          <w:p>
            <w:pPr>
              <w:pStyle w:val="20"/>
              <w:spacing w:before="66" w:after="66"/>
              <w:ind w:left="42" w:leftChars="20" w:right="42" w:rightChars="20" w:firstLine="180" w:firstLineChars="100"/>
              <w:jc w:val="both"/>
            </w:pPr>
            <w:r>
              <w:rPr>
                <w:rFonts w:hint="eastAsia"/>
              </w:rPr>
              <w:t>其他</w:t>
            </w:r>
          </w:p>
        </w:tc>
        <w:tc>
          <w:tcPr>
            <w:tcW w:w="863" w:type="dxa"/>
            <w:tcMar>
              <w:left w:w="0" w:type="dxa"/>
              <w:right w:w="0" w:type="dxa"/>
            </w:tcMar>
            <w:vAlign w:val="center"/>
          </w:tcPr>
          <w:p>
            <w:pPr>
              <w:pStyle w:val="20"/>
              <w:spacing w:before="66" w:after="66"/>
            </w:pPr>
          </w:p>
        </w:tc>
        <w:tc>
          <w:tcPr>
            <w:tcW w:w="2145" w:type="dxa"/>
            <w:tcMar>
              <w:left w:w="0" w:type="dxa"/>
              <w:right w:w="0" w:type="dxa"/>
            </w:tcMar>
            <w:vAlign w:val="center"/>
          </w:tcPr>
          <w:p>
            <w:pPr>
              <w:pStyle w:val="20"/>
              <w:spacing w:before="66" w:after="66"/>
              <w:rPr>
                <w:color w:val="000000"/>
              </w:rPr>
            </w:pPr>
          </w:p>
        </w:tc>
        <w:tc>
          <w:tcPr>
            <w:tcW w:w="2143" w:type="dxa"/>
            <w:tcMar>
              <w:left w:w="0" w:type="dxa"/>
              <w:right w:w="0" w:type="dxa"/>
            </w:tcMar>
          </w:tcPr>
          <w:p>
            <w:pPr>
              <w:pStyle w:val="20"/>
              <w:spacing w:before="66" w:after="66"/>
            </w:pPr>
          </w:p>
        </w:tc>
      </w:tr>
    </w:tbl>
    <w:p>
      <w:pPr>
        <w:spacing w:line="312" w:lineRule="exact"/>
        <w:ind w:left="951" w:leftChars="172" w:right="210" w:rightChars="100" w:hanging="590" w:hangingChars="328"/>
        <w:rPr>
          <w:sz w:val="18"/>
          <w:szCs w:val="18"/>
        </w:rPr>
      </w:pPr>
      <w:r>
        <w:rPr>
          <w:rFonts w:hint="eastAsia" w:ascii="黑体" w:eastAsia="黑体"/>
          <w:sz w:val="18"/>
          <w:szCs w:val="18"/>
        </w:rPr>
        <w:t>注</w:t>
      </w:r>
      <w:r>
        <w:rPr>
          <w:rFonts w:hint="eastAsia"/>
          <w:sz w:val="18"/>
          <w:szCs w:val="18"/>
        </w:rPr>
        <w:t>　1. 项目单位对本表中参数有差异时，可在项目需求部分的项目单位技术差异表中给出，投标人应对该差异表响应。项目单位技术差异表与本表中参数不同时，以项目单位技术差异表给出的参数为准。</w:t>
      </w:r>
    </w:p>
    <w:p>
      <w:pPr>
        <w:spacing w:line="312" w:lineRule="exact"/>
        <w:ind w:firstLine="720" w:firstLineChars="400"/>
        <w:rPr>
          <w:sz w:val="18"/>
          <w:szCs w:val="18"/>
        </w:rPr>
      </w:pPr>
      <w:r>
        <w:rPr>
          <w:rFonts w:hint="eastAsia"/>
          <w:sz w:val="18"/>
          <w:szCs w:val="18"/>
        </w:rPr>
        <w:t>2. 参数名称栏中带*的参数为重要参数。如不能满足要求，将被视为实质性不符合招标文件要求。</w:t>
      </w:r>
    </w:p>
    <w:p>
      <w:pPr>
        <w:pStyle w:val="12"/>
        <w:rPr>
          <w:snapToGrid w:val="0"/>
          <w:kern w:val="0"/>
        </w:rPr>
      </w:pPr>
      <w:bookmarkStart w:id="238" w:name="_Toc250561857"/>
      <w:bookmarkStart w:id="239" w:name="_Toc247772987"/>
      <w:bookmarkStart w:id="240" w:name="_Toc250741860"/>
      <w:bookmarkStart w:id="241" w:name="_Toc256367609"/>
      <w:bookmarkStart w:id="242" w:name="_Toc250623511"/>
      <w:r>
        <w:rPr>
          <w:rFonts w:hint="eastAsia"/>
          <w:snapToGrid w:val="0"/>
          <w:kern w:val="0"/>
        </w:rPr>
        <w:t>2　项目需求部分</w:t>
      </w:r>
      <w:bookmarkEnd w:id="238"/>
      <w:bookmarkEnd w:id="239"/>
      <w:bookmarkEnd w:id="240"/>
      <w:bookmarkEnd w:id="241"/>
      <w:bookmarkEnd w:id="242"/>
    </w:p>
    <w:p>
      <w:pPr>
        <w:pStyle w:val="13"/>
        <w:rPr>
          <w:snapToGrid w:val="0"/>
          <w:kern w:val="0"/>
        </w:rPr>
      </w:pPr>
      <w:bookmarkStart w:id="243" w:name="_Toc250741861"/>
      <w:bookmarkStart w:id="244" w:name="_Toc247772988"/>
      <w:bookmarkStart w:id="245" w:name="_Toc250623512"/>
      <w:bookmarkStart w:id="246" w:name="_Toc250561858"/>
      <w:bookmarkStart w:id="247" w:name="_Toc256367610"/>
      <w:r>
        <w:rPr>
          <w:rFonts w:hint="eastAsia"/>
          <w:snapToGrid w:val="0"/>
          <w:kern w:val="0"/>
        </w:rPr>
        <w:t>2.1　货物需求及供货范围一览表</w:t>
      </w:r>
      <w:bookmarkEnd w:id="243"/>
      <w:bookmarkEnd w:id="244"/>
      <w:bookmarkEnd w:id="245"/>
      <w:bookmarkEnd w:id="246"/>
      <w:bookmarkEnd w:id="247"/>
    </w:p>
    <w:p>
      <w:pPr>
        <w:spacing w:line="312" w:lineRule="exact"/>
        <w:ind w:firstLine="420" w:firstLineChars="200"/>
      </w:pPr>
      <w:r>
        <w:rPr>
          <w:rFonts w:hint="eastAsia"/>
        </w:rPr>
        <w:t>货物需求及供货范围一览表见表3。</w:t>
      </w:r>
    </w:p>
    <w:p>
      <w:pPr>
        <w:pStyle w:val="16"/>
      </w:pPr>
      <w:r>
        <w:rPr>
          <w:rFonts w:hint="eastAsia"/>
        </w:rPr>
        <w:t>表3　货物需求及供货范围一览表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34" w:type="dxa"/>
          <w:left w:w="57" w:type="dxa"/>
          <w:bottom w:w="34" w:type="dxa"/>
          <w:right w:w="57" w:type="dxa"/>
        </w:tblCellMar>
      </w:tblPr>
      <w:tblGrid>
        <w:gridCol w:w="442"/>
        <w:gridCol w:w="2556"/>
        <w:gridCol w:w="859"/>
        <w:gridCol w:w="1617"/>
        <w:gridCol w:w="871"/>
        <w:gridCol w:w="1335"/>
        <w:gridCol w:w="6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34" w:type="dxa"/>
            <w:left w:w="57" w:type="dxa"/>
            <w:bottom w:w="34" w:type="dxa"/>
            <w:right w:w="57" w:type="dxa"/>
          </w:tblCellMar>
        </w:tblPrEx>
        <w:trPr>
          <w:tblHeader/>
          <w:jc w:val="center"/>
        </w:trPr>
        <w:tc>
          <w:tcPr>
            <w:tcW w:w="442" w:type="dxa"/>
            <w:vMerge w:val="restart"/>
            <w:shd w:val="clear" w:color="auto" w:fill="auto"/>
            <w:tcMar>
              <w:top w:w="0" w:type="dxa"/>
              <w:left w:w="0" w:type="dxa"/>
              <w:bottom w:w="0" w:type="dxa"/>
              <w:right w:w="0" w:type="dxa"/>
            </w:tcMar>
            <w:vAlign w:val="center"/>
          </w:tcPr>
          <w:p>
            <w:pPr>
              <w:pStyle w:val="20"/>
              <w:spacing w:before="64" w:after="64"/>
            </w:pPr>
            <w:r>
              <w:t>序号</w:t>
            </w:r>
          </w:p>
        </w:tc>
        <w:tc>
          <w:tcPr>
            <w:tcW w:w="2556" w:type="dxa"/>
            <w:vMerge w:val="restart"/>
            <w:tcMar>
              <w:top w:w="0" w:type="dxa"/>
              <w:left w:w="0" w:type="dxa"/>
              <w:bottom w:w="0" w:type="dxa"/>
              <w:right w:w="0" w:type="dxa"/>
            </w:tcMar>
            <w:vAlign w:val="center"/>
          </w:tcPr>
          <w:p>
            <w:pPr>
              <w:pStyle w:val="20"/>
              <w:spacing w:before="64" w:after="64"/>
            </w:pPr>
            <w:r>
              <w:t xml:space="preserve">名  </w:t>
            </w:r>
            <w:r>
              <w:rPr>
                <w:rFonts w:hint="eastAsia"/>
              </w:rPr>
              <w:t xml:space="preserve">  </w:t>
            </w:r>
            <w:r>
              <w:t>称</w:t>
            </w:r>
          </w:p>
        </w:tc>
        <w:tc>
          <w:tcPr>
            <w:tcW w:w="859" w:type="dxa"/>
            <w:vMerge w:val="restart"/>
            <w:shd w:val="clear" w:color="auto" w:fill="auto"/>
            <w:tcMar>
              <w:top w:w="0" w:type="dxa"/>
              <w:left w:w="0" w:type="dxa"/>
              <w:bottom w:w="0" w:type="dxa"/>
              <w:right w:w="0" w:type="dxa"/>
            </w:tcMar>
            <w:vAlign w:val="center"/>
          </w:tcPr>
          <w:p>
            <w:pPr>
              <w:pStyle w:val="20"/>
              <w:spacing w:before="64" w:after="64"/>
            </w:pPr>
            <w:r>
              <w:t>单位</w:t>
            </w:r>
          </w:p>
        </w:tc>
        <w:tc>
          <w:tcPr>
            <w:tcW w:w="2488" w:type="dxa"/>
            <w:gridSpan w:val="2"/>
            <w:shd w:val="clear" w:color="auto" w:fill="auto"/>
            <w:tcMar>
              <w:top w:w="0" w:type="dxa"/>
              <w:left w:w="0" w:type="dxa"/>
              <w:bottom w:w="0" w:type="dxa"/>
              <w:right w:w="0" w:type="dxa"/>
            </w:tcMar>
            <w:vAlign w:val="center"/>
          </w:tcPr>
          <w:p>
            <w:pPr>
              <w:pStyle w:val="20"/>
              <w:spacing w:before="64" w:after="64"/>
            </w:pPr>
            <w:r>
              <w:rPr>
                <w:rFonts w:hint="eastAsia"/>
              </w:rPr>
              <w:t xml:space="preserve">招 标 人 </w:t>
            </w:r>
            <w:r>
              <w:t>要</w:t>
            </w:r>
            <w:r>
              <w:rPr>
                <w:rFonts w:hint="eastAsia"/>
              </w:rPr>
              <w:t xml:space="preserve"> </w:t>
            </w:r>
            <w:r>
              <w:t>求</w:t>
            </w:r>
          </w:p>
        </w:tc>
        <w:tc>
          <w:tcPr>
            <w:tcW w:w="1981" w:type="dxa"/>
            <w:gridSpan w:val="2"/>
            <w:shd w:val="clear" w:color="auto" w:fill="auto"/>
            <w:tcMar>
              <w:top w:w="0" w:type="dxa"/>
              <w:left w:w="0" w:type="dxa"/>
              <w:bottom w:w="0" w:type="dxa"/>
              <w:right w:w="0" w:type="dxa"/>
            </w:tcMar>
            <w:vAlign w:val="center"/>
          </w:tcPr>
          <w:p>
            <w:pPr>
              <w:pStyle w:val="20"/>
              <w:spacing w:before="64" w:after="64"/>
            </w:pPr>
            <w:r>
              <w:t>投</w:t>
            </w:r>
            <w:r>
              <w:rPr>
                <w:rFonts w:hint="eastAsia"/>
              </w:rPr>
              <w:t xml:space="preserve"> </w:t>
            </w:r>
            <w:r>
              <w:t>标</w:t>
            </w:r>
            <w:r>
              <w:rPr>
                <w:rFonts w:hint="eastAsia"/>
              </w:rPr>
              <w:t xml:space="preserve"> </w:t>
            </w:r>
            <w:r>
              <w:t>人</w:t>
            </w:r>
            <w:r>
              <w:rPr>
                <w:rFonts w:hint="eastAsia"/>
              </w:rPr>
              <w:t xml:space="preserve"> </w:t>
            </w:r>
            <w:r>
              <w:t>响</w:t>
            </w:r>
            <w:r>
              <w:rPr>
                <w:rFonts w:hint="eastAsia"/>
              </w:rPr>
              <w:t xml:space="preserve"> </w:t>
            </w:r>
            <w:r>
              <w:t>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34" w:type="dxa"/>
            <w:left w:w="57" w:type="dxa"/>
            <w:bottom w:w="34" w:type="dxa"/>
            <w:right w:w="57" w:type="dxa"/>
          </w:tblCellMar>
        </w:tblPrEx>
        <w:trPr>
          <w:tblHeader/>
          <w:jc w:val="center"/>
        </w:trPr>
        <w:tc>
          <w:tcPr>
            <w:tcW w:w="442" w:type="dxa"/>
            <w:vMerge w:val="continue"/>
            <w:shd w:val="clear" w:color="auto" w:fill="auto"/>
            <w:tcMar>
              <w:top w:w="0" w:type="dxa"/>
              <w:left w:w="0" w:type="dxa"/>
              <w:bottom w:w="0" w:type="dxa"/>
              <w:right w:w="0" w:type="dxa"/>
            </w:tcMar>
            <w:vAlign w:val="center"/>
          </w:tcPr>
          <w:p>
            <w:pPr>
              <w:pStyle w:val="20"/>
              <w:spacing w:before="64" w:after="64"/>
            </w:pPr>
          </w:p>
        </w:tc>
        <w:tc>
          <w:tcPr>
            <w:tcW w:w="2556" w:type="dxa"/>
            <w:vMerge w:val="continue"/>
            <w:tcMar>
              <w:top w:w="0" w:type="dxa"/>
              <w:left w:w="0" w:type="dxa"/>
              <w:bottom w:w="0" w:type="dxa"/>
              <w:right w:w="0" w:type="dxa"/>
            </w:tcMar>
            <w:vAlign w:val="center"/>
          </w:tcPr>
          <w:p>
            <w:pPr>
              <w:pStyle w:val="20"/>
              <w:spacing w:before="64" w:after="64"/>
            </w:pPr>
          </w:p>
        </w:tc>
        <w:tc>
          <w:tcPr>
            <w:tcW w:w="859" w:type="dxa"/>
            <w:vMerge w:val="continue"/>
            <w:shd w:val="clear" w:color="auto" w:fill="auto"/>
            <w:tcMar>
              <w:top w:w="0" w:type="dxa"/>
              <w:left w:w="0" w:type="dxa"/>
              <w:bottom w:w="0" w:type="dxa"/>
              <w:right w:w="0" w:type="dxa"/>
            </w:tcMar>
            <w:vAlign w:val="center"/>
          </w:tcPr>
          <w:p>
            <w:pPr>
              <w:pStyle w:val="20"/>
              <w:spacing w:before="64" w:after="64"/>
            </w:pPr>
          </w:p>
        </w:tc>
        <w:tc>
          <w:tcPr>
            <w:tcW w:w="1617" w:type="dxa"/>
            <w:tcMar>
              <w:top w:w="0" w:type="dxa"/>
              <w:left w:w="0" w:type="dxa"/>
              <w:bottom w:w="0" w:type="dxa"/>
              <w:right w:w="0" w:type="dxa"/>
            </w:tcMar>
            <w:vAlign w:val="center"/>
          </w:tcPr>
          <w:p>
            <w:pPr>
              <w:pStyle w:val="20"/>
              <w:spacing w:before="64" w:after="64"/>
            </w:pPr>
            <w:r>
              <w:t>型式、规格</w:t>
            </w:r>
          </w:p>
        </w:tc>
        <w:tc>
          <w:tcPr>
            <w:tcW w:w="871" w:type="dxa"/>
            <w:tcMar>
              <w:top w:w="0" w:type="dxa"/>
              <w:left w:w="0" w:type="dxa"/>
              <w:bottom w:w="0" w:type="dxa"/>
              <w:right w:w="0" w:type="dxa"/>
            </w:tcMar>
            <w:vAlign w:val="center"/>
          </w:tcPr>
          <w:p>
            <w:pPr>
              <w:pStyle w:val="20"/>
              <w:spacing w:before="64" w:after="64"/>
            </w:pPr>
            <w:r>
              <w:t>数量</w:t>
            </w:r>
          </w:p>
        </w:tc>
        <w:tc>
          <w:tcPr>
            <w:tcW w:w="1335" w:type="dxa"/>
            <w:tcMar>
              <w:top w:w="0" w:type="dxa"/>
              <w:left w:w="0" w:type="dxa"/>
              <w:bottom w:w="0" w:type="dxa"/>
              <w:right w:w="0" w:type="dxa"/>
            </w:tcMar>
            <w:vAlign w:val="center"/>
          </w:tcPr>
          <w:p>
            <w:pPr>
              <w:pStyle w:val="20"/>
              <w:spacing w:before="64" w:after="64"/>
            </w:pPr>
            <w:r>
              <w:t>型式、规格</w:t>
            </w:r>
          </w:p>
        </w:tc>
        <w:tc>
          <w:tcPr>
            <w:tcW w:w="646" w:type="dxa"/>
            <w:tcMar>
              <w:top w:w="0" w:type="dxa"/>
              <w:left w:w="0" w:type="dxa"/>
              <w:bottom w:w="0" w:type="dxa"/>
              <w:right w:w="0" w:type="dxa"/>
            </w:tcMar>
            <w:vAlign w:val="center"/>
          </w:tcPr>
          <w:p>
            <w:pPr>
              <w:pStyle w:val="20"/>
              <w:spacing w:before="64" w:after="64"/>
            </w:pPr>
            <w:r>
              <w:rPr>
                <w:rFonts w:hint="eastAsia"/>
              </w:rPr>
              <w:t>数</w:t>
            </w:r>
            <w:r>
              <w:t>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34" w:type="dxa"/>
            <w:left w:w="57" w:type="dxa"/>
            <w:bottom w:w="34" w:type="dxa"/>
            <w:right w:w="57" w:type="dxa"/>
          </w:tblCellMar>
        </w:tblPrEx>
        <w:trPr>
          <w:jc w:val="center"/>
        </w:trPr>
        <w:tc>
          <w:tcPr>
            <w:tcW w:w="442" w:type="dxa"/>
            <w:shd w:val="clear" w:color="auto" w:fill="auto"/>
            <w:tcMar>
              <w:top w:w="0" w:type="dxa"/>
              <w:left w:w="0" w:type="dxa"/>
              <w:bottom w:w="0" w:type="dxa"/>
              <w:right w:w="0" w:type="dxa"/>
            </w:tcMar>
            <w:vAlign w:val="center"/>
          </w:tcPr>
          <w:p>
            <w:pPr>
              <w:pStyle w:val="20"/>
              <w:spacing w:before="64" w:after="64"/>
            </w:pPr>
            <w:r>
              <w:t>1</w:t>
            </w:r>
          </w:p>
        </w:tc>
        <w:tc>
          <w:tcPr>
            <w:tcW w:w="2556" w:type="dxa"/>
            <w:tcMar>
              <w:top w:w="0" w:type="dxa"/>
              <w:left w:w="0" w:type="dxa"/>
              <w:bottom w:w="0" w:type="dxa"/>
              <w:right w:w="0" w:type="dxa"/>
            </w:tcMar>
            <w:vAlign w:val="center"/>
          </w:tcPr>
          <w:p>
            <w:pPr>
              <w:pStyle w:val="20"/>
              <w:spacing w:before="64" w:after="64"/>
              <w:ind w:left="42" w:leftChars="20" w:right="42" w:rightChars="20" w:firstLine="180" w:firstLineChars="100"/>
              <w:jc w:val="both"/>
              <w:rPr>
                <w:rFonts w:ascii="宋体" w:hAnsi="宋体"/>
                <w:spacing w:val="-2"/>
              </w:rPr>
            </w:pPr>
            <w:r>
              <w:rPr>
                <w:rFonts w:hint="eastAsia"/>
              </w:rPr>
              <w:t>电能质量在线监测装置</w:t>
            </w:r>
          </w:p>
        </w:tc>
        <w:tc>
          <w:tcPr>
            <w:tcW w:w="859" w:type="dxa"/>
            <w:shd w:val="clear" w:color="auto" w:fill="auto"/>
            <w:tcMar>
              <w:top w:w="0" w:type="dxa"/>
              <w:left w:w="0" w:type="dxa"/>
              <w:bottom w:w="0" w:type="dxa"/>
              <w:right w:w="0" w:type="dxa"/>
            </w:tcMar>
            <w:vAlign w:val="center"/>
          </w:tcPr>
          <w:p>
            <w:pPr>
              <w:pStyle w:val="20"/>
              <w:spacing w:before="64" w:after="64"/>
            </w:pPr>
            <w:r>
              <w:t>台</w:t>
            </w:r>
          </w:p>
        </w:tc>
        <w:tc>
          <w:tcPr>
            <w:tcW w:w="1617" w:type="dxa"/>
            <w:tcMar>
              <w:top w:w="0" w:type="dxa"/>
              <w:left w:w="0" w:type="dxa"/>
              <w:bottom w:w="0" w:type="dxa"/>
              <w:right w:w="0" w:type="dxa"/>
            </w:tcMar>
            <w:vAlign w:val="center"/>
          </w:tcPr>
          <w:p>
            <w:pPr>
              <w:pStyle w:val="20"/>
              <w:spacing w:before="64" w:after="64"/>
            </w:pPr>
            <w:r>
              <w:rPr>
                <w:rFonts w:hint="eastAsia"/>
              </w:rPr>
              <w:t>电能质量检测装置（模拟式,A级,多通道）</w:t>
            </w:r>
          </w:p>
        </w:tc>
        <w:tc>
          <w:tcPr>
            <w:tcW w:w="871" w:type="dxa"/>
            <w:tcMar>
              <w:top w:w="0" w:type="dxa"/>
              <w:left w:w="0" w:type="dxa"/>
              <w:bottom w:w="0" w:type="dxa"/>
              <w:right w:w="0" w:type="dxa"/>
            </w:tcMar>
            <w:vAlign w:val="center"/>
          </w:tcPr>
          <w:p>
            <w:pPr>
              <w:pStyle w:val="20"/>
              <w:spacing w:before="64" w:after="64"/>
            </w:pPr>
            <w:r>
              <w:rPr>
                <w:rFonts w:hint="eastAsia"/>
              </w:rPr>
              <w:t>1</w:t>
            </w:r>
          </w:p>
        </w:tc>
        <w:tc>
          <w:tcPr>
            <w:tcW w:w="1335" w:type="dxa"/>
            <w:tcMar>
              <w:top w:w="0" w:type="dxa"/>
              <w:left w:w="0" w:type="dxa"/>
              <w:bottom w:w="0" w:type="dxa"/>
              <w:right w:w="0" w:type="dxa"/>
            </w:tcMar>
            <w:vAlign w:val="center"/>
          </w:tcPr>
          <w:p>
            <w:pPr>
              <w:pStyle w:val="20"/>
              <w:spacing w:before="64" w:after="64"/>
            </w:pPr>
          </w:p>
        </w:tc>
        <w:tc>
          <w:tcPr>
            <w:tcW w:w="646" w:type="dxa"/>
            <w:tcMar>
              <w:top w:w="0" w:type="dxa"/>
              <w:left w:w="0" w:type="dxa"/>
              <w:bottom w:w="0" w:type="dxa"/>
              <w:right w:w="0" w:type="dxa"/>
            </w:tcMar>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34" w:type="dxa"/>
            <w:left w:w="57" w:type="dxa"/>
            <w:bottom w:w="34" w:type="dxa"/>
            <w:right w:w="57" w:type="dxa"/>
          </w:tblCellMar>
        </w:tblPrEx>
        <w:trPr>
          <w:jc w:val="center"/>
        </w:trPr>
        <w:tc>
          <w:tcPr>
            <w:tcW w:w="442" w:type="dxa"/>
            <w:shd w:val="clear" w:color="auto" w:fill="auto"/>
            <w:tcMar>
              <w:top w:w="0" w:type="dxa"/>
              <w:left w:w="0" w:type="dxa"/>
              <w:bottom w:w="0" w:type="dxa"/>
              <w:right w:w="0" w:type="dxa"/>
            </w:tcMar>
            <w:vAlign w:val="center"/>
          </w:tcPr>
          <w:p>
            <w:pPr>
              <w:pStyle w:val="20"/>
              <w:spacing w:before="64" w:after="64"/>
            </w:pPr>
            <w:r>
              <w:rPr>
                <w:rFonts w:hint="eastAsia"/>
              </w:rPr>
              <w:t>2</w:t>
            </w:r>
          </w:p>
        </w:tc>
        <w:tc>
          <w:tcPr>
            <w:tcW w:w="2556" w:type="dxa"/>
            <w:tcMar>
              <w:top w:w="0" w:type="dxa"/>
              <w:left w:w="0" w:type="dxa"/>
              <w:bottom w:w="0" w:type="dxa"/>
              <w:right w:w="0" w:type="dxa"/>
            </w:tcMar>
            <w:vAlign w:val="center"/>
          </w:tcPr>
          <w:p>
            <w:pPr>
              <w:pStyle w:val="20"/>
              <w:spacing w:before="64" w:after="64"/>
              <w:ind w:left="42" w:leftChars="20" w:right="42" w:rightChars="20" w:firstLine="180" w:firstLineChars="100"/>
              <w:jc w:val="both"/>
            </w:pPr>
            <w:r>
              <w:rPr>
                <w:rFonts w:hint="eastAsia"/>
                <w:snapToGrid w:val="0"/>
                <w:kern w:val="0"/>
              </w:rPr>
              <w:t>柜体及附件</w:t>
            </w:r>
          </w:p>
        </w:tc>
        <w:tc>
          <w:tcPr>
            <w:tcW w:w="859" w:type="dxa"/>
            <w:shd w:val="clear" w:color="auto" w:fill="auto"/>
            <w:tcMar>
              <w:top w:w="0" w:type="dxa"/>
              <w:left w:w="0" w:type="dxa"/>
              <w:bottom w:w="0" w:type="dxa"/>
              <w:right w:w="0" w:type="dxa"/>
            </w:tcMar>
            <w:vAlign w:val="center"/>
          </w:tcPr>
          <w:p>
            <w:pPr>
              <w:pStyle w:val="20"/>
              <w:spacing w:before="64" w:after="64"/>
            </w:pPr>
            <w:r>
              <w:rPr>
                <w:rFonts w:hint="eastAsia"/>
              </w:rPr>
              <w:t>面</w:t>
            </w:r>
          </w:p>
        </w:tc>
        <w:tc>
          <w:tcPr>
            <w:tcW w:w="1617" w:type="dxa"/>
            <w:tcMar>
              <w:top w:w="0" w:type="dxa"/>
              <w:left w:w="0" w:type="dxa"/>
              <w:bottom w:w="0" w:type="dxa"/>
              <w:right w:w="0" w:type="dxa"/>
            </w:tcMar>
            <w:vAlign w:val="center"/>
          </w:tcPr>
          <w:p>
            <w:pPr>
              <w:pStyle w:val="20"/>
              <w:spacing w:before="64" w:after="64"/>
            </w:pPr>
          </w:p>
        </w:tc>
        <w:tc>
          <w:tcPr>
            <w:tcW w:w="871" w:type="dxa"/>
            <w:tcMar>
              <w:top w:w="0" w:type="dxa"/>
              <w:left w:w="0" w:type="dxa"/>
              <w:bottom w:w="0" w:type="dxa"/>
              <w:right w:w="0" w:type="dxa"/>
            </w:tcMar>
            <w:vAlign w:val="center"/>
          </w:tcPr>
          <w:p>
            <w:pPr>
              <w:pStyle w:val="20"/>
              <w:spacing w:before="64" w:after="64"/>
              <w:rPr>
                <w:rFonts w:hint="eastAsia" w:eastAsia="宋体"/>
                <w:lang w:eastAsia="zh-CN"/>
              </w:rPr>
            </w:pPr>
            <w:r>
              <w:rPr>
                <w:rFonts w:hint="eastAsia"/>
                <w:lang w:val="en-US" w:eastAsia="zh-CN"/>
              </w:rPr>
              <w:t>0</w:t>
            </w:r>
          </w:p>
        </w:tc>
        <w:tc>
          <w:tcPr>
            <w:tcW w:w="1335" w:type="dxa"/>
            <w:tcMar>
              <w:top w:w="0" w:type="dxa"/>
              <w:left w:w="0" w:type="dxa"/>
              <w:bottom w:w="0" w:type="dxa"/>
              <w:right w:w="0" w:type="dxa"/>
            </w:tcMar>
            <w:vAlign w:val="center"/>
          </w:tcPr>
          <w:p>
            <w:pPr>
              <w:pStyle w:val="20"/>
              <w:spacing w:before="64" w:after="64"/>
            </w:pPr>
          </w:p>
        </w:tc>
        <w:tc>
          <w:tcPr>
            <w:tcW w:w="646" w:type="dxa"/>
            <w:tcMar>
              <w:top w:w="0" w:type="dxa"/>
              <w:left w:w="0" w:type="dxa"/>
              <w:bottom w:w="0" w:type="dxa"/>
              <w:right w:w="0" w:type="dxa"/>
            </w:tcMar>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34" w:type="dxa"/>
            <w:left w:w="57" w:type="dxa"/>
            <w:bottom w:w="34" w:type="dxa"/>
            <w:right w:w="57" w:type="dxa"/>
          </w:tblCellMar>
        </w:tblPrEx>
        <w:trPr>
          <w:jc w:val="center"/>
        </w:trPr>
        <w:tc>
          <w:tcPr>
            <w:tcW w:w="442" w:type="dxa"/>
            <w:shd w:val="clear" w:color="auto" w:fill="auto"/>
            <w:tcMar>
              <w:top w:w="0" w:type="dxa"/>
              <w:left w:w="0" w:type="dxa"/>
              <w:bottom w:w="0" w:type="dxa"/>
              <w:right w:w="0" w:type="dxa"/>
            </w:tcMar>
            <w:vAlign w:val="center"/>
          </w:tcPr>
          <w:p>
            <w:pPr>
              <w:pStyle w:val="20"/>
              <w:spacing w:before="64" w:after="64"/>
            </w:pPr>
            <w:r>
              <w:rPr>
                <w:rFonts w:hint="eastAsia"/>
              </w:rPr>
              <w:t>3</w:t>
            </w:r>
          </w:p>
        </w:tc>
        <w:tc>
          <w:tcPr>
            <w:tcW w:w="2556" w:type="dxa"/>
            <w:tcMar>
              <w:top w:w="0" w:type="dxa"/>
              <w:left w:w="0" w:type="dxa"/>
              <w:bottom w:w="0" w:type="dxa"/>
              <w:right w:w="0" w:type="dxa"/>
            </w:tcMar>
            <w:vAlign w:val="center"/>
          </w:tcPr>
          <w:p>
            <w:pPr>
              <w:pStyle w:val="20"/>
              <w:spacing w:before="64" w:after="64"/>
              <w:ind w:left="42" w:leftChars="20" w:right="42" w:rightChars="20" w:firstLine="180" w:firstLineChars="100"/>
              <w:jc w:val="both"/>
            </w:pPr>
            <w:r>
              <w:rPr>
                <w:rFonts w:hint="eastAsia"/>
                <w:snapToGrid w:val="0"/>
                <w:kern w:val="0"/>
              </w:rPr>
              <w:t>打印机</w:t>
            </w:r>
          </w:p>
        </w:tc>
        <w:tc>
          <w:tcPr>
            <w:tcW w:w="859" w:type="dxa"/>
            <w:shd w:val="clear" w:color="auto" w:fill="auto"/>
            <w:tcMar>
              <w:top w:w="0" w:type="dxa"/>
              <w:left w:w="0" w:type="dxa"/>
              <w:bottom w:w="0" w:type="dxa"/>
              <w:right w:w="0" w:type="dxa"/>
            </w:tcMar>
            <w:vAlign w:val="center"/>
          </w:tcPr>
          <w:p>
            <w:pPr>
              <w:pStyle w:val="20"/>
              <w:spacing w:before="64" w:after="64"/>
            </w:pPr>
            <w:r>
              <w:t>台</w:t>
            </w:r>
          </w:p>
        </w:tc>
        <w:tc>
          <w:tcPr>
            <w:tcW w:w="1617" w:type="dxa"/>
            <w:tcMar>
              <w:top w:w="0" w:type="dxa"/>
              <w:left w:w="0" w:type="dxa"/>
              <w:bottom w:w="0" w:type="dxa"/>
              <w:right w:w="0" w:type="dxa"/>
            </w:tcMar>
            <w:vAlign w:val="center"/>
          </w:tcPr>
          <w:p>
            <w:pPr>
              <w:pStyle w:val="20"/>
              <w:spacing w:before="64" w:after="64"/>
            </w:pPr>
          </w:p>
        </w:tc>
        <w:tc>
          <w:tcPr>
            <w:tcW w:w="871" w:type="dxa"/>
            <w:tcMar>
              <w:top w:w="0" w:type="dxa"/>
              <w:left w:w="0" w:type="dxa"/>
              <w:bottom w:w="0" w:type="dxa"/>
              <w:right w:w="0" w:type="dxa"/>
            </w:tcMar>
            <w:vAlign w:val="center"/>
          </w:tcPr>
          <w:p>
            <w:pPr>
              <w:pStyle w:val="20"/>
              <w:spacing w:before="64" w:after="64"/>
              <w:rPr>
                <w:rFonts w:hint="eastAsia" w:eastAsia="宋体"/>
                <w:lang w:eastAsia="zh-CN"/>
              </w:rPr>
            </w:pPr>
            <w:r>
              <w:rPr>
                <w:rFonts w:hint="eastAsia"/>
                <w:lang w:val="en-US" w:eastAsia="zh-CN"/>
              </w:rPr>
              <w:t>0</w:t>
            </w:r>
          </w:p>
        </w:tc>
        <w:tc>
          <w:tcPr>
            <w:tcW w:w="1335" w:type="dxa"/>
            <w:tcMar>
              <w:top w:w="0" w:type="dxa"/>
              <w:left w:w="0" w:type="dxa"/>
              <w:bottom w:w="0" w:type="dxa"/>
              <w:right w:w="0" w:type="dxa"/>
            </w:tcMar>
            <w:vAlign w:val="center"/>
          </w:tcPr>
          <w:p>
            <w:pPr>
              <w:pStyle w:val="20"/>
              <w:spacing w:before="64" w:after="64"/>
            </w:pPr>
          </w:p>
        </w:tc>
        <w:tc>
          <w:tcPr>
            <w:tcW w:w="646" w:type="dxa"/>
            <w:tcMar>
              <w:top w:w="0" w:type="dxa"/>
              <w:left w:w="0" w:type="dxa"/>
              <w:bottom w:w="0" w:type="dxa"/>
              <w:right w:w="0" w:type="dxa"/>
            </w:tcMar>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34" w:type="dxa"/>
            <w:left w:w="57" w:type="dxa"/>
            <w:bottom w:w="34" w:type="dxa"/>
            <w:right w:w="57" w:type="dxa"/>
          </w:tblCellMar>
        </w:tblPrEx>
        <w:trPr>
          <w:jc w:val="center"/>
        </w:trPr>
        <w:tc>
          <w:tcPr>
            <w:tcW w:w="442" w:type="dxa"/>
            <w:shd w:val="clear" w:color="auto" w:fill="auto"/>
            <w:tcMar>
              <w:top w:w="0" w:type="dxa"/>
              <w:left w:w="0" w:type="dxa"/>
              <w:bottom w:w="0" w:type="dxa"/>
              <w:right w:w="0" w:type="dxa"/>
            </w:tcMar>
            <w:vAlign w:val="center"/>
          </w:tcPr>
          <w:p>
            <w:pPr>
              <w:pStyle w:val="20"/>
              <w:spacing w:before="64" w:after="64"/>
            </w:pPr>
            <w:r>
              <w:rPr>
                <w:rFonts w:hint="eastAsia"/>
              </w:rPr>
              <w:t>4</w:t>
            </w:r>
          </w:p>
        </w:tc>
        <w:tc>
          <w:tcPr>
            <w:tcW w:w="2556" w:type="dxa"/>
            <w:tcMar>
              <w:top w:w="0" w:type="dxa"/>
              <w:left w:w="0" w:type="dxa"/>
              <w:bottom w:w="0" w:type="dxa"/>
              <w:right w:w="0" w:type="dxa"/>
            </w:tcMar>
            <w:vAlign w:val="center"/>
          </w:tcPr>
          <w:p>
            <w:pPr>
              <w:pStyle w:val="20"/>
              <w:spacing w:before="64" w:after="64"/>
              <w:ind w:left="42" w:leftChars="20" w:right="42" w:rightChars="20" w:firstLine="180" w:firstLineChars="100"/>
              <w:jc w:val="both"/>
            </w:pPr>
            <w:r>
              <w:rPr>
                <w:rFonts w:hint="eastAsia"/>
                <w:snapToGrid w:val="0"/>
                <w:kern w:val="0"/>
              </w:rPr>
              <w:t>其他</w:t>
            </w:r>
          </w:p>
        </w:tc>
        <w:tc>
          <w:tcPr>
            <w:tcW w:w="859" w:type="dxa"/>
            <w:shd w:val="clear" w:color="auto" w:fill="auto"/>
            <w:tcMar>
              <w:top w:w="0" w:type="dxa"/>
              <w:left w:w="0" w:type="dxa"/>
              <w:bottom w:w="0" w:type="dxa"/>
              <w:right w:w="0" w:type="dxa"/>
            </w:tcMar>
            <w:vAlign w:val="center"/>
          </w:tcPr>
          <w:p>
            <w:pPr>
              <w:pStyle w:val="20"/>
              <w:spacing w:before="64" w:after="64"/>
            </w:pPr>
          </w:p>
        </w:tc>
        <w:tc>
          <w:tcPr>
            <w:tcW w:w="1617" w:type="dxa"/>
            <w:tcMar>
              <w:top w:w="0" w:type="dxa"/>
              <w:left w:w="0" w:type="dxa"/>
              <w:bottom w:w="0" w:type="dxa"/>
              <w:right w:w="0" w:type="dxa"/>
            </w:tcMar>
            <w:vAlign w:val="center"/>
          </w:tcPr>
          <w:p>
            <w:pPr>
              <w:pStyle w:val="20"/>
              <w:spacing w:before="64" w:after="64"/>
              <w:rPr>
                <w:rFonts w:hint="eastAsia" w:eastAsia="宋体"/>
                <w:lang w:eastAsia="zh-CN"/>
              </w:rPr>
            </w:pPr>
            <w:r>
              <w:rPr>
                <w:rFonts w:hint="eastAsia"/>
                <w:lang w:eastAsia="zh-CN"/>
              </w:rPr>
              <w:t>安装在现运行屏，厂家需配置相关接线、端子排</w:t>
            </w:r>
          </w:p>
        </w:tc>
        <w:tc>
          <w:tcPr>
            <w:tcW w:w="871" w:type="dxa"/>
            <w:tcMar>
              <w:top w:w="0" w:type="dxa"/>
              <w:left w:w="0" w:type="dxa"/>
              <w:bottom w:w="0" w:type="dxa"/>
              <w:right w:w="0" w:type="dxa"/>
            </w:tcMar>
            <w:vAlign w:val="center"/>
          </w:tcPr>
          <w:p>
            <w:pPr>
              <w:pStyle w:val="20"/>
              <w:spacing w:before="64" w:after="64"/>
            </w:pPr>
          </w:p>
        </w:tc>
        <w:tc>
          <w:tcPr>
            <w:tcW w:w="1335" w:type="dxa"/>
            <w:tcMar>
              <w:top w:w="0" w:type="dxa"/>
              <w:left w:w="0" w:type="dxa"/>
              <w:bottom w:w="0" w:type="dxa"/>
              <w:right w:w="0" w:type="dxa"/>
            </w:tcMar>
            <w:vAlign w:val="center"/>
          </w:tcPr>
          <w:p>
            <w:pPr>
              <w:pStyle w:val="20"/>
              <w:spacing w:before="64" w:after="64"/>
            </w:pPr>
          </w:p>
        </w:tc>
        <w:tc>
          <w:tcPr>
            <w:tcW w:w="646" w:type="dxa"/>
            <w:tcMar>
              <w:top w:w="0" w:type="dxa"/>
              <w:left w:w="0" w:type="dxa"/>
              <w:bottom w:w="0" w:type="dxa"/>
              <w:right w:w="0" w:type="dxa"/>
            </w:tcMar>
            <w:vAlign w:val="center"/>
          </w:tcPr>
          <w:p>
            <w:pPr>
              <w:pStyle w:val="20"/>
              <w:spacing w:before="64" w:after="64"/>
            </w:pPr>
          </w:p>
        </w:tc>
      </w:tr>
    </w:tbl>
    <w:p>
      <w:pPr>
        <w:pStyle w:val="13"/>
        <w:rPr>
          <w:snapToGrid w:val="0"/>
          <w:kern w:val="0"/>
        </w:rPr>
      </w:pPr>
    </w:p>
    <w:p>
      <w:pPr>
        <w:pStyle w:val="13"/>
        <w:rPr>
          <w:snapToGrid w:val="0"/>
          <w:kern w:val="0"/>
        </w:rPr>
      </w:pPr>
      <w:bookmarkStart w:id="248" w:name="_Toc256367611"/>
      <w:r>
        <w:rPr>
          <w:rFonts w:hint="eastAsia"/>
          <w:snapToGrid w:val="0"/>
          <w:kern w:val="0"/>
        </w:rPr>
        <w:t>2.2　可选择的技术参数</w:t>
      </w:r>
      <w:bookmarkEnd w:id="248"/>
      <w:r>
        <w:rPr>
          <w:rFonts w:hint="eastAsia"/>
          <w:snapToGrid w:val="0"/>
          <w:kern w:val="0"/>
        </w:rPr>
        <w:t>表</w:t>
      </w:r>
    </w:p>
    <w:p>
      <w:pPr>
        <w:spacing w:line="312" w:lineRule="exact"/>
        <w:ind w:firstLine="420" w:firstLineChars="200"/>
        <w:rPr>
          <w:snapToGrid w:val="0"/>
          <w:kern w:val="0"/>
          <w:szCs w:val="21"/>
        </w:rPr>
      </w:pPr>
      <w:r>
        <w:rPr>
          <w:rFonts w:hint="eastAsia" w:hAnsi="宋体"/>
          <w:snapToGrid w:val="0"/>
          <w:kern w:val="0"/>
          <w:szCs w:val="21"/>
        </w:rPr>
        <w:t>可选择的技术参数表见表</w:t>
      </w:r>
      <w:r>
        <w:rPr>
          <w:rFonts w:hint="eastAsia"/>
          <w:snapToGrid w:val="0"/>
          <w:kern w:val="0"/>
          <w:szCs w:val="21"/>
        </w:rPr>
        <w:t>4</w:t>
      </w:r>
      <w:r>
        <w:rPr>
          <w:rFonts w:hint="eastAsia" w:hAnsi="宋体"/>
          <w:snapToGrid w:val="0"/>
          <w:kern w:val="0"/>
          <w:szCs w:val="21"/>
        </w:rPr>
        <w:t>。</w:t>
      </w:r>
    </w:p>
    <w:p>
      <w:pPr>
        <w:pStyle w:val="16"/>
      </w:pPr>
      <w:r>
        <w:rPr>
          <w:rFonts w:hint="eastAsia"/>
        </w:rPr>
        <w:t>表4　可选择的</w:t>
      </w:r>
      <w:r>
        <w:t>技术参数表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39"/>
        <w:gridCol w:w="1971"/>
        <w:gridCol w:w="1972"/>
        <w:gridCol w:w="1972"/>
        <w:gridCol w:w="19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blHeader/>
          <w:jc w:val="center"/>
        </w:trPr>
        <w:tc>
          <w:tcPr>
            <w:tcW w:w="439" w:type="dxa"/>
            <w:shd w:val="clear" w:color="auto" w:fill="auto"/>
            <w:tcMar>
              <w:left w:w="0" w:type="dxa"/>
              <w:right w:w="0" w:type="dxa"/>
            </w:tcMar>
            <w:vAlign w:val="center"/>
          </w:tcPr>
          <w:p>
            <w:pPr>
              <w:pStyle w:val="20"/>
              <w:spacing w:before="64" w:after="64"/>
            </w:pPr>
            <w:r>
              <w:t>序号</w:t>
            </w:r>
          </w:p>
        </w:tc>
        <w:tc>
          <w:tcPr>
            <w:tcW w:w="1971" w:type="dxa"/>
            <w:shd w:val="clear" w:color="auto" w:fill="auto"/>
            <w:tcMar>
              <w:left w:w="0" w:type="dxa"/>
              <w:right w:w="0" w:type="dxa"/>
            </w:tcMar>
            <w:vAlign w:val="center"/>
          </w:tcPr>
          <w:p>
            <w:pPr>
              <w:pStyle w:val="20"/>
              <w:spacing w:before="64" w:after="64"/>
            </w:pPr>
            <w:r>
              <w:t>名</w:t>
            </w:r>
            <w:r>
              <w:rPr>
                <w:rFonts w:hint="eastAsia"/>
              </w:rPr>
              <w:t xml:space="preserve">    </w:t>
            </w:r>
            <w:r>
              <w:t>称</w:t>
            </w:r>
          </w:p>
        </w:tc>
        <w:tc>
          <w:tcPr>
            <w:tcW w:w="1972" w:type="dxa"/>
            <w:shd w:val="clear" w:color="auto" w:fill="auto"/>
            <w:tcMar>
              <w:left w:w="0" w:type="dxa"/>
              <w:right w:w="0" w:type="dxa"/>
            </w:tcMar>
            <w:vAlign w:val="center"/>
          </w:tcPr>
          <w:p>
            <w:pPr>
              <w:pStyle w:val="20"/>
              <w:spacing w:before="64" w:after="64"/>
            </w:pPr>
            <w:r>
              <w:rPr>
                <w:rFonts w:hint="eastAsia"/>
              </w:rPr>
              <w:t>参    数</w:t>
            </w:r>
          </w:p>
        </w:tc>
        <w:tc>
          <w:tcPr>
            <w:tcW w:w="1972" w:type="dxa"/>
            <w:shd w:val="clear" w:color="auto" w:fill="auto"/>
            <w:tcMar>
              <w:left w:w="0" w:type="dxa"/>
              <w:right w:w="0" w:type="dxa"/>
            </w:tcMar>
            <w:vAlign w:val="center"/>
          </w:tcPr>
          <w:p>
            <w:pPr>
              <w:pStyle w:val="20"/>
              <w:spacing w:before="64" w:after="64"/>
            </w:pPr>
            <w:r>
              <w:rPr>
                <w:rFonts w:hint="eastAsia"/>
              </w:rPr>
              <w:t>投标人响应</w:t>
            </w:r>
          </w:p>
        </w:tc>
        <w:tc>
          <w:tcPr>
            <w:tcW w:w="1972" w:type="dxa"/>
            <w:shd w:val="clear" w:color="auto" w:fill="auto"/>
            <w:tcMar>
              <w:left w:w="0" w:type="dxa"/>
              <w:right w:w="0" w:type="dxa"/>
            </w:tcMar>
            <w:vAlign w:val="center"/>
          </w:tcPr>
          <w:p>
            <w:pPr>
              <w:pStyle w:val="20"/>
              <w:spacing w:before="64" w:after="64"/>
            </w:pPr>
            <w:r>
              <w:rPr>
                <w:rFonts w:hint="eastAsia"/>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blHeader/>
          <w:jc w:val="center"/>
        </w:trPr>
        <w:tc>
          <w:tcPr>
            <w:tcW w:w="439" w:type="dxa"/>
            <w:shd w:val="clear" w:color="auto" w:fill="auto"/>
            <w:tcMar>
              <w:left w:w="0" w:type="dxa"/>
              <w:right w:w="0" w:type="dxa"/>
            </w:tcMar>
            <w:vAlign w:val="center"/>
          </w:tcPr>
          <w:p>
            <w:pPr>
              <w:pStyle w:val="20"/>
              <w:spacing w:before="64" w:after="64"/>
            </w:pPr>
            <w:r>
              <w:rPr>
                <w:rFonts w:hint="eastAsia"/>
              </w:rPr>
              <w:t>1</w:t>
            </w:r>
          </w:p>
        </w:tc>
        <w:tc>
          <w:tcPr>
            <w:tcW w:w="1971" w:type="dxa"/>
            <w:shd w:val="clear" w:color="auto" w:fill="auto"/>
            <w:tcMar>
              <w:left w:w="0" w:type="dxa"/>
              <w:right w:w="0" w:type="dxa"/>
            </w:tcMar>
            <w:vAlign w:val="center"/>
          </w:tcPr>
          <w:p>
            <w:pPr>
              <w:pStyle w:val="20"/>
              <w:spacing w:before="64" w:after="64"/>
              <w:ind w:left="42" w:leftChars="20" w:right="42" w:rightChars="20" w:firstLine="180" w:firstLineChars="100"/>
              <w:jc w:val="both"/>
            </w:pPr>
            <w:r>
              <w:rPr>
                <w:rFonts w:hint="eastAsia"/>
              </w:rPr>
              <w:t>装置工作电源</w:t>
            </w:r>
          </w:p>
        </w:tc>
        <w:tc>
          <w:tcPr>
            <w:tcW w:w="1972" w:type="dxa"/>
            <w:shd w:val="clear" w:color="auto" w:fill="auto"/>
            <w:tcMar>
              <w:left w:w="0" w:type="dxa"/>
              <w:right w:w="0" w:type="dxa"/>
            </w:tcMar>
            <w:vAlign w:val="center"/>
          </w:tcPr>
          <w:p>
            <w:pPr>
              <w:pStyle w:val="20"/>
              <w:spacing w:before="64" w:after="64"/>
            </w:pPr>
            <w:r>
              <w:rPr>
                <w:rFonts w:hint="eastAsia"/>
              </w:rPr>
              <w:t>DC220V</w:t>
            </w:r>
          </w:p>
        </w:tc>
        <w:tc>
          <w:tcPr>
            <w:tcW w:w="1972" w:type="dxa"/>
            <w:shd w:val="clear" w:color="auto" w:fill="auto"/>
            <w:tcMar>
              <w:left w:w="0" w:type="dxa"/>
              <w:right w:w="0" w:type="dxa"/>
            </w:tcMar>
            <w:vAlign w:val="center"/>
          </w:tcPr>
          <w:p>
            <w:pPr>
              <w:pStyle w:val="20"/>
              <w:spacing w:before="64" w:after="64"/>
            </w:pPr>
          </w:p>
        </w:tc>
        <w:tc>
          <w:tcPr>
            <w:tcW w:w="1972" w:type="dxa"/>
            <w:shd w:val="clear" w:color="auto" w:fill="auto"/>
            <w:tcMar>
              <w:left w:w="0" w:type="dxa"/>
              <w:right w:w="0" w:type="dxa"/>
            </w:tcMar>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9" w:type="dxa"/>
            <w:shd w:val="clear" w:color="auto" w:fill="auto"/>
            <w:tcMar>
              <w:left w:w="0" w:type="dxa"/>
              <w:right w:w="0" w:type="dxa"/>
            </w:tcMar>
            <w:vAlign w:val="center"/>
          </w:tcPr>
          <w:p>
            <w:pPr>
              <w:pStyle w:val="20"/>
              <w:spacing w:before="64" w:after="64"/>
            </w:pPr>
            <w:r>
              <w:rPr>
                <w:rFonts w:hint="eastAsia"/>
              </w:rPr>
              <w:t>2</w:t>
            </w:r>
          </w:p>
        </w:tc>
        <w:tc>
          <w:tcPr>
            <w:tcW w:w="1971" w:type="dxa"/>
            <w:shd w:val="clear" w:color="auto" w:fill="auto"/>
            <w:tcMar>
              <w:left w:w="0" w:type="dxa"/>
              <w:right w:w="0" w:type="dxa"/>
            </w:tcMar>
            <w:vAlign w:val="center"/>
          </w:tcPr>
          <w:p>
            <w:pPr>
              <w:pStyle w:val="20"/>
              <w:spacing w:before="64" w:after="64"/>
              <w:ind w:left="42" w:leftChars="20" w:right="42" w:rightChars="20" w:firstLine="180" w:firstLineChars="100"/>
              <w:jc w:val="both"/>
            </w:pPr>
            <w:r>
              <w:t>额定</w:t>
            </w:r>
            <w:r>
              <w:rPr>
                <w:rFonts w:hint="eastAsia"/>
              </w:rPr>
              <w:t>输入</w:t>
            </w:r>
            <w:r>
              <w:t>电流</w:t>
            </w:r>
          </w:p>
        </w:tc>
        <w:tc>
          <w:tcPr>
            <w:tcW w:w="1972" w:type="dxa"/>
            <w:shd w:val="clear" w:color="auto" w:fill="auto"/>
            <w:tcMar>
              <w:left w:w="0" w:type="dxa"/>
              <w:right w:w="0" w:type="dxa"/>
            </w:tcMar>
            <w:vAlign w:val="center"/>
          </w:tcPr>
          <w:p>
            <w:pPr>
              <w:pStyle w:val="20"/>
              <w:spacing w:before="64" w:after="64"/>
            </w:pPr>
            <w:r>
              <w:rPr>
                <w:rFonts w:hint="eastAsia"/>
              </w:rPr>
              <w:t>1A</w:t>
            </w:r>
          </w:p>
        </w:tc>
        <w:tc>
          <w:tcPr>
            <w:tcW w:w="1972" w:type="dxa"/>
            <w:shd w:val="clear" w:color="auto" w:fill="auto"/>
            <w:tcMar>
              <w:left w:w="0" w:type="dxa"/>
              <w:right w:w="0" w:type="dxa"/>
            </w:tcMar>
            <w:vAlign w:val="center"/>
          </w:tcPr>
          <w:p>
            <w:pPr>
              <w:pStyle w:val="20"/>
              <w:spacing w:before="64" w:after="64"/>
            </w:pPr>
          </w:p>
        </w:tc>
        <w:tc>
          <w:tcPr>
            <w:tcW w:w="1972" w:type="dxa"/>
            <w:shd w:val="clear" w:color="auto" w:fill="auto"/>
            <w:tcMar>
              <w:left w:w="0" w:type="dxa"/>
              <w:right w:w="0" w:type="dxa"/>
            </w:tcMar>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9" w:type="dxa"/>
            <w:shd w:val="clear" w:color="auto" w:fill="auto"/>
            <w:tcMar>
              <w:left w:w="0" w:type="dxa"/>
              <w:right w:w="0" w:type="dxa"/>
            </w:tcMar>
            <w:vAlign w:val="center"/>
          </w:tcPr>
          <w:p>
            <w:pPr>
              <w:pStyle w:val="20"/>
              <w:spacing w:before="64" w:after="64"/>
            </w:pPr>
            <w:r>
              <w:rPr>
                <w:rFonts w:hint="eastAsia"/>
              </w:rPr>
              <w:t>3</w:t>
            </w:r>
          </w:p>
        </w:tc>
        <w:tc>
          <w:tcPr>
            <w:tcW w:w="1971" w:type="dxa"/>
            <w:shd w:val="clear" w:color="auto" w:fill="auto"/>
            <w:tcMar>
              <w:left w:w="0" w:type="dxa"/>
              <w:right w:w="0" w:type="dxa"/>
            </w:tcMar>
            <w:vAlign w:val="center"/>
          </w:tcPr>
          <w:p>
            <w:pPr>
              <w:pStyle w:val="20"/>
              <w:spacing w:before="64" w:after="64"/>
              <w:ind w:left="42" w:leftChars="20" w:right="42" w:rightChars="20" w:firstLine="180" w:firstLineChars="100"/>
              <w:jc w:val="both"/>
            </w:pPr>
            <w:r>
              <w:t>额定</w:t>
            </w:r>
            <w:r>
              <w:rPr>
                <w:rFonts w:hint="eastAsia"/>
              </w:rPr>
              <w:t>输入</w:t>
            </w:r>
            <w:r>
              <w:t>电</w:t>
            </w:r>
            <w:r>
              <w:rPr>
                <w:rFonts w:hint="eastAsia"/>
              </w:rPr>
              <w:t>压</w:t>
            </w:r>
          </w:p>
        </w:tc>
        <w:tc>
          <w:tcPr>
            <w:tcW w:w="1972" w:type="dxa"/>
            <w:shd w:val="clear" w:color="auto" w:fill="auto"/>
            <w:tcMar>
              <w:left w:w="0" w:type="dxa"/>
              <w:right w:w="0" w:type="dxa"/>
            </w:tcMar>
            <w:vAlign w:val="center"/>
          </w:tcPr>
          <w:p>
            <w:pPr>
              <w:pStyle w:val="20"/>
              <w:spacing w:before="64" w:after="64"/>
            </w:pPr>
            <w:r>
              <w:rPr>
                <w:rFonts w:hint="eastAsia"/>
              </w:rPr>
              <w:t>100V</w:t>
            </w:r>
          </w:p>
        </w:tc>
        <w:tc>
          <w:tcPr>
            <w:tcW w:w="1972" w:type="dxa"/>
            <w:shd w:val="clear" w:color="auto" w:fill="auto"/>
            <w:tcMar>
              <w:left w:w="0" w:type="dxa"/>
              <w:right w:w="0" w:type="dxa"/>
            </w:tcMar>
            <w:vAlign w:val="center"/>
          </w:tcPr>
          <w:p>
            <w:pPr>
              <w:pStyle w:val="20"/>
              <w:spacing w:before="64" w:after="64"/>
            </w:pPr>
          </w:p>
        </w:tc>
        <w:tc>
          <w:tcPr>
            <w:tcW w:w="1972" w:type="dxa"/>
            <w:shd w:val="clear" w:color="auto" w:fill="auto"/>
            <w:tcMar>
              <w:left w:w="0" w:type="dxa"/>
              <w:right w:w="0" w:type="dxa"/>
            </w:tcMar>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9" w:type="dxa"/>
            <w:shd w:val="clear" w:color="auto" w:fill="auto"/>
            <w:tcMar>
              <w:left w:w="0" w:type="dxa"/>
              <w:right w:w="0" w:type="dxa"/>
            </w:tcMar>
            <w:vAlign w:val="center"/>
          </w:tcPr>
          <w:p>
            <w:pPr>
              <w:pStyle w:val="20"/>
              <w:spacing w:before="64" w:after="64"/>
            </w:pPr>
            <w:r>
              <w:rPr>
                <w:rFonts w:hint="eastAsia"/>
              </w:rPr>
              <w:t>4</w:t>
            </w:r>
          </w:p>
        </w:tc>
        <w:tc>
          <w:tcPr>
            <w:tcW w:w="1971" w:type="dxa"/>
            <w:shd w:val="clear" w:color="auto" w:fill="auto"/>
            <w:tcMar>
              <w:left w:w="0" w:type="dxa"/>
              <w:right w:w="0" w:type="dxa"/>
            </w:tcMar>
            <w:vAlign w:val="center"/>
          </w:tcPr>
          <w:p>
            <w:pPr>
              <w:pStyle w:val="20"/>
              <w:spacing w:before="64" w:after="64"/>
              <w:ind w:left="42" w:leftChars="20" w:right="42" w:rightChars="20" w:firstLine="180" w:firstLineChars="100"/>
              <w:jc w:val="both"/>
            </w:pPr>
            <w:r>
              <w:rPr>
                <w:rFonts w:hint="eastAsia"/>
              </w:rPr>
              <w:t>屏柜颜色</w:t>
            </w:r>
          </w:p>
        </w:tc>
        <w:tc>
          <w:tcPr>
            <w:tcW w:w="1972" w:type="dxa"/>
            <w:shd w:val="clear" w:color="auto" w:fill="auto"/>
            <w:tcMar>
              <w:left w:w="0" w:type="dxa"/>
              <w:right w:w="0" w:type="dxa"/>
            </w:tcMar>
            <w:vAlign w:val="center"/>
          </w:tcPr>
          <w:p>
            <w:pPr>
              <w:pStyle w:val="20"/>
              <w:spacing w:before="64" w:after="64"/>
            </w:pPr>
            <w:r>
              <w:rPr>
                <w:rFonts w:hint="eastAsia"/>
              </w:rPr>
              <w:t>冰灰橘纹</w:t>
            </w:r>
          </w:p>
        </w:tc>
        <w:tc>
          <w:tcPr>
            <w:tcW w:w="1972" w:type="dxa"/>
            <w:shd w:val="clear" w:color="auto" w:fill="auto"/>
            <w:tcMar>
              <w:left w:w="0" w:type="dxa"/>
              <w:right w:w="0" w:type="dxa"/>
            </w:tcMar>
            <w:vAlign w:val="center"/>
          </w:tcPr>
          <w:p>
            <w:pPr>
              <w:pStyle w:val="20"/>
              <w:spacing w:before="64" w:after="64"/>
            </w:pPr>
          </w:p>
        </w:tc>
        <w:tc>
          <w:tcPr>
            <w:tcW w:w="1972" w:type="dxa"/>
            <w:shd w:val="clear" w:color="auto" w:fill="auto"/>
            <w:tcMar>
              <w:left w:w="0" w:type="dxa"/>
              <w:right w:w="0" w:type="dxa"/>
            </w:tcMar>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9" w:type="dxa"/>
            <w:shd w:val="clear" w:color="auto" w:fill="auto"/>
            <w:tcMar>
              <w:left w:w="0" w:type="dxa"/>
              <w:right w:w="0" w:type="dxa"/>
            </w:tcMar>
            <w:vAlign w:val="center"/>
          </w:tcPr>
          <w:p>
            <w:pPr>
              <w:pStyle w:val="20"/>
              <w:spacing w:before="64" w:after="64"/>
            </w:pPr>
            <w:r>
              <w:rPr>
                <w:rFonts w:hint="eastAsia"/>
              </w:rPr>
              <w:t>5</w:t>
            </w:r>
          </w:p>
        </w:tc>
        <w:tc>
          <w:tcPr>
            <w:tcW w:w="1971" w:type="dxa"/>
            <w:shd w:val="clear" w:color="auto" w:fill="auto"/>
            <w:tcMar>
              <w:left w:w="0" w:type="dxa"/>
              <w:right w:w="0" w:type="dxa"/>
            </w:tcMar>
            <w:vAlign w:val="center"/>
          </w:tcPr>
          <w:p>
            <w:pPr>
              <w:pStyle w:val="20"/>
              <w:spacing w:before="64" w:after="64"/>
              <w:ind w:left="42" w:leftChars="20" w:right="42" w:rightChars="20" w:firstLine="180" w:firstLineChars="100"/>
              <w:jc w:val="both"/>
            </w:pPr>
            <w:r>
              <w:rPr>
                <w:rFonts w:hint="eastAsia"/>
              </w:rPr>
              <w:t>屏柜尺寸</w:t>
            </w:r>
          </w:p>
        </w:tc>
        <w:tc>
          <w:tcPr>
            <w:tcW w:w="1972" w:type="dxa"/>
            <w:shd w:val="clear" w:color="auto" w:fill="auto"/>
            <w:tcMar>
              <w:left w:w="0" w:type="dxa"/>
              <w:right w:w="0" w:type="dxa"/>
            </w:tcMar>
            <w:vAlign w:val="center"/>
          </w:tcPr>
          <w:p>
            <w:pPr>
              <w:pStyle w:val="20"/>
              <w:spacing w:before="64" w:after="64"/>
            </w:pPr>
            <w:r>
              <w:rPr>
                <w:rFonts w:hint="eastAsia"/>
              </w:rPr>
              <w:t>2260×800×600mm</w:t>
            </w:r>
          </w:p>
        </w:tc>
        <w:tc>
          <w:tcPr>
            <w:tcW w:w="1972" w:type="dxa"/>
            <w:shd w:val="clear" w:color="auto" w:fill="auto"/>
            <w:tcMar>
              <w:left w:w="0" w:type="dxa"/>
              <w:right w:w="0" w:type="dxa"/>
            </w:tcMar>
            <w:vAlign w:val="center"/>
          </w:tcPr>
          <w:p>
            <w:pPr>
              <w:pStyle w:val="20"/>
              <w:spacing w:before="64" w:after="64"/>
            </w:pPr>
          </w:p>
        </w:tc>
        <w:tc>
          <w:tcPr>
            <w:tcW w:w="1972" w:type="dxa"/>
            <w:shd w:val="clear" w:color="auto" w:fill="auto"/>
            <w:tcMar>
              <w:left w:w="0" w:type="dxa"/>
              <w:right w:w="0" w:type="dxa"/>
            </w:tcMar>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9" w:type="dxa"/>
            <w:shd w:val="clear" w:color="auto" w:fill="auto"/>
            <w:tcMar>
              <w:left w:w="0" w:type="dxa"/>
              <w:right w:w="0" w:type="dxa"/>
            </w:tcMar>
            <w:vAlign w:val="center"/>
          </w:tcPr>
          <w:p>
            <w:pPr>
              <w:pStyle w:val="20"/>
              <w:spacing w:before="64" w:after="64"/>
            </w:pPr>
            <w:r>
              <w:rPr>
                <w:rFonts w:hint="eastAsia"/>
              </w:rPr>
              <w:t>6</w:t>
            </w:r>
          </w:p>
        </w:tc>
        <w:tc>
          <w:tcPr>
            <w:tcW w:w="1971" w:type="dxa"/>
            <w:shd w:val="clear" w:color="auto" w:fill="auto"/>
            <w:tcMar>
              <w:left w:w="0" w:type="dxa"/>
              <w:right w:w="0" w:type="dxa"/>
            </w:tcMar>
            <w:vAlign w:val="center"/>
          </w:tcPr>
          <w:p>
            <w:pPr>
              <w:pStyle w:val="20"/>
              <w:spacing w:before="64" w:after="64"/>
              <w:ind w:left="42" w:leftChars="20" w:right="42" w:rightChars="20" w:firstLine="180" w:firstLineChars="100"/>
              <w:jc w:val="both"/>
            </w:pPr>
            <w:r>
              <w:rPr>
                <w:rFonts w:hint="eastAsia"/>
              </w:rPr>
              <w:t>其他</w:t>
            </w:r>
          </w:p>
        </w:tc>
        <w:tc>
          <w:tcPr>
            <w:tcW w:w="1972" w:type="dxa"/>
            <w:shd w:val="clear" w:color="auto" w:fill="auto"/>
            <w:tcMar>
              <w:left w:w="0" w:type="dxa"/>
              <w:right w:w="0" w:type="dxa"/>
            </w:tcMar>
          </w:tcPr>
          <w:p>
            <w:pPr>
              <w:pStyle w:val="20"/>
              <w:spacing w:before="64" w:after="64"/>
            </w:pPr>
          </w:p>
        </w:tc>
        <w:tc>
          <w:tcPr>
            <w:tcW w:w="1972" w:type="dxa"/>
            <w:shd w:val="clear" w:color="auto" w:fill="auto"/>
            <w:tcMar>
              <w:left w:w="0" w:type="dxa"/>
              <w:right w:w="0" w:type="dxa"/>
            </w:tcMar>
            <w:vAlign w:val="center"/>
          </w:tcPr>
          <w:p>
            <w:pPr>
              <w:pStyle w:val="20"/>
              <w:spacing w:before="64" w:after="64"/>
            </w:pPr>
          </w:p>
        </w:tc>
        <w:tc>
          <w:tcPr>
            <w:tcW w:w="1972" w:type="dxa"/>
            <w:shd w:val="clear" w:color="auto" w:fill="auto"/>
            <w:tcMar>
              <w:left w:w="0" w:type="dxa"/>
              <w:right w:w="0" w:type="dxa"/>
            </w:tcMar>
            <w:vAlign w:val="center"/>
          </w:tcPr>
          <w:p>
            <w:pPr>
              <w:pStyle w:val="20"/>
              <w:spacing w:before="64" w:after="64"/>
            </w:pPr>
          </w:p>
        </w:tc>
      </w:tr>
    </w:tbl>
    <w:p>
      <w:pPr>
        <w:spacing w:line="312" w:lineRule="exact"/>
        <w:rPr>
          <w:rFonts w:ascii="宋体" w:hAnsi="宋体"/>
          <w:snapToGrid w:val="0"/>
          <w:kern w:val="0"/>
        </w:rPr>
      </w:pPr>
    </w:p>
    <w:p>
      <w:pPr>
        <w:pStyle w:val="13"/>
        <w:rPr>
          <w:snapToGrid w:val="0"/>
          <w:kern w:val="0"/>
        </w:rPr>
      </w:pPr>
      <w:bookmarkStart w:id="249" w:name="_Toc256367612"/>
      <w:r>
        <w:rPr>
          <w:rFonts w:hint="eastAsia"/>
          <w:snapToGrid w:val="0"/>
          <w:kern w:val="0"/>
        </w:rPr>
        <w:t>2.3</w:t>
      </w:r>
      <w:bookmarkStart w:id="250" w:name="_Toc250741862"/>
      <w:bookmarkStart w:id="251" w:name="_Toc250623513"/>
      <w:bookmarkStart w:id="252" w:name="_Toc250561859"/>
      <w:bookmarkStart w:id="253" w:name="_Toc247772989"/>
      <w:r>
        <w:rPr>
          <w:rFonts w:hint="eastAsia"/>
          <w:snapToGrid w:val="0"/>
          <w:kern w:val="0"/>
        </w:rPr>
        <w:t>　必备的备品备件、专用工具和仪器仪表供货表</w:t>
      </w:r>
      <w:bookmarkEnd w:id="249"/>
      <w:bookmarkEnd w:id="250"/>
      <w:bookmarkEnd w:id="251"/>
      <w:bookmarkEnd w:id="252"/>
      <w:bookmarkEnd w:id="253"/>
    </w:p>
    <w:p>
      <w:pPr>
        <w:spacing w:line="312" w:lineRule="exact"/>
        <w:ind w:firstLine="420" w:firstLineChars="200"/>
      </w:pPr>
      <w:r>
        <w:rPr>
          <w:rFonts w:hint="eastAsia"/>
        </w:rPr>
        <w:t>必备的备品备件、专用工具和仪器仪表供货表见表5。</w:t>
      </w:r>
    </w:p>
    <w:p>
      <w:pPr>
        <w:pStyle w:val="16"/>
      </w:pPr>
      <w:r>
        <w:rPr>
          <w:rFonts w:hint="eastAsia"/>
        </w:rPr>
        <w:t>表5　必备的备品备件、专用工具和仪器仪表供货表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450"/>
        <w:gridCol w:w="2548"/>
        <w:gridCol w:w="854"/>
        <w:gridCol w:w="1629"/>
        <w:gridCol w:w="854"/>
        <w:gridCol w:w="1347"/>
        <w:gridCol w:w="6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50" w:type="dxa"/>
            <w:vMerge w:val="restart"/>
            <w:vAlign w:val="center"/>
          </w:tcPr>
          <w:p>
            <w:pPr>
              <w:pStyle w:val="20"/>
              <w:spacing w:before="64" w:after="64"/>
            </w:pPr>
            <w:r>
              <w:rPr>
                <w:rFonts w:hint="eastAsia"/>
              </w:rPr>
              <w:t>序号</w:t>
            </w:r>
          </w:p>
        </w:tc>
        <w:tc>
          <w:tcPr>
            <w:tcW w:w="2548" w:type="dxa"/>
            <w:vMerge w:val="restart"/>
            <w:vAlign w:val="center"/>
          </w:tcPr>
          <w:p>
            <w:pPr>
              <w:pStyle w:val="20"/>
              <w:spacing w:before="64" w:after="64"/>
            </w:pPr>
            <w:r>
              <w:rPr>
                <w:rFonts w:hint="eastAsia"/>
              </w:rPr>
              <w:t>名    称</w:t>
            </w:r>
          </w:p>
        </w:tc>
        <w:tc>
          <w:tcPr>
            <w:tcW w:w="854" w:type="dxa"/>
            <w:vMerge w:val="restart"/>
            <w:vAlign w:val="center"/>
          </w:tcPr>
          <w:p>
            <w:pPr>
              <w:pStyle w:val="20"/>
              <w:spacing w:before="64" w:after="64"/>
            </w:pPr>
            <w:r>
              <w:rPr>
                <w:rFonts w:hint="eastAsia"/>
              </w:rPr>
              <w:t>单位</w:t>
            </w:r>
          </w:p>
        </w:tc>
        <w:tc>
          <w:tcPr>
            <w:tcW w:w="2483" w:type="dxa"/>
            <w:gridSpan w:val="2"/>
            <w:vAlign w:val="center"/>
          </w:tcPr>
          <w:p>
            <w:pPr>
              <w:pStyle w:val="20"/>
              <w:spacing w:before="64" w:after="64"/>
              <w:rPr>
                <w:rFonts w:cs="宋体"/>
                <w:kern w:val="0"/>
              </w:rPr>
            </w:pPr>
            <w:r>
              <w:rPr>
                <w:rFonts w:hint="eastAsia"/>
              </w:rPr>
              <w:t>招 标 人 要 求</w:t>
            </w:r>
          </w:p>
        </w:tc>
        <w:tc>
          <w:tcPr>
            <w:tcW w:w="1991" w:type="dxa"/>
            <w:gridSpan w:val="2"/>
            <w:vAlign w:val="center"/>
          </w:tcPr>
          <w:p>
            <w:pPr>
              <w:pStyle w:val="20"/>
              <w:spacing w:before="64" w:after="64"/>
              <w:rPr>
                <w:rFonts w:cs="宋体"/>
                <w:kern w:val="0"/>
              </w:rPr>
            </w:pPr>
            <w:r>
              <w:rPr>
                <w:rFonts w:hint="eastAsia"/>
              </w:rPr>
              <w:t>投 标 人 响 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50" w:type="dxa"/>
            <w:vMerge w:val="continue"/>
            <w:vAlign w:val="center"/>
          </w:tcPr>
          <w:p>
            <w:pPr>
              <w:pStyle w:val="20"/>
              <w:spacing w:before="64" w:after="64"/>
            </w:pPr>
          </w:p>
        </w:tc>
        <w:tc>
          <w:tcPr>
            <w:tcW w:w="2548" w:type="dxa"/>
            <w:vMerge w:val="continue"/>
            <w:vAlign w:val="center"/>
          </w:tcPr>
          <w:p>
            <w:pPr>
              <w:pStyle w:val="20"/>
              <w:spacing w:before="64" w:after="64"/>
            </w:pPr>
          </w:p>
        </w:tc>
        <w:tc>
          <w:tcPr>
            <w:tcW w:w="854" w:type="dxa"/>
            <w:vMerge w:val="continue"/>
            <w:vAlign w:val="center"/>
          </w:tcPr>
          <w:p>
            <w:pPr>
              <w:pStyle w:val="20"/>
              <w:spacing w:before="64" w:after="64"/>
            </w:pPr>
          </w:p>
        </w:tc>
        <w:tc>
          <w:tcPr>
            <w:tcW w:w="1629" w:type="dxa"/>
            <w:vAlign w:val="center"/>
          </w:tcPr>
          <w:p>
            <w:pPr>
              <w:pStyle w:val="20"/>
              <w:spacing w:before="64" w:after="64"/>
            </w:pPr>
            <w:r>
              <w:rPr>
                <w:rFonts w:hint="eastAsia"/>
              </w:rPr>
              <w:t>型号和规格</w:t>
            </w:r>
          </w:p>
        </w:tc>
        <w:tc>
          <w:tcPr>
            <w:tcW w:w="854" w:type="dxa"/>
            <w:vAlign w:val="center"/>
          </w:tcPr>
          <w:p>
            <w:pPr>
              <w:pStyle w:val="20"/>
              <w:spacing w:before="64" w:after="64"/>
            </w:pPr>
            <w:r>
              <w:rPr>
                <w:rFonts w:hint="eastAsia"/>
              </w:rPr>
              <w:t>数量</w:t>
            </w:r>
          </w:p>
        </w:tc>
        <w:tc>
          <w:tcPr>
            <w:tcW w:w="1347" w:type="dxa"/>
            <w:vAlign w:val="center"/>
          </w:tcPr>
          <w:p>
            <w:pPr>
              <w:pStyle w:val="20"/>
              <w:spacing w:before="64" w:after="64"/>
            </w:pPr>
            <w:r>
              <w:rPr>
                <w:rFonts w:hint="eastAsia"/>
              </w:rPr>
              <w:t>型号和规格</w:t>
            </w:r>
          </w:p>
        </w:tc>
        <w:tc>
          <w:tcPr>
            <w:tcW w:w="644" w:type="dxa"/>
            <w:vAlign w:val="center"/>
          </w:tcPr>
          <w:p>
            <w:pPr>
              <w:pStyle w:val="20"/>
              <w:spacing w:before="64" w:after="64"/>
            </w:pPr>
            <w:r>
              <w:rPr>
                <w:rFonts w:hint="eastAsia"/>
              </w:rPr>
              <w:t>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50" w:type="dxa"/>
            <w:vAlign w:val="center"/>
          </w:tcPr>
          <w:p>
            <w:pPr>
              <w:pStyle w:val="20"/>
              <w:spacing w:before="64" w:after="64"/>
            </w:pPr>
            <w:r>
              <w:rPr>
                <w:rFonts w:hint="eastAsia"/>
              </w:rPr>
              <w:t>1</w:t>
            </w:r>
          </w:p>
        </w:tc>
        <w:tc>
          <w:tcPr>
            <w:tcW w:w="2548" w:type="dxa"/>
            <w:vAlign w:val="center"/>
          </w:tcPr>
          <w:p>
            <w:pPr>
              <w:pStyle w:val="20"/>
              <w:spacing w:before="64" w:after="64"/>
            </w:pPr>
          </w:p>
        </w:tc>
        <w:tc>
          <w:tcPr>
            <w:tcW w:w="854" w:type="dxa"/>
            <w:vAlign w:val="center"/>
          </w:tcPr>
          <w:p>
            <w:pPr>
              <w:pStyle w:val="20"/>
              <w:spacing w:before="64" w:after="64"/>
            </w:pPr>
          </w:p>
        </w:tc>
        <w:tc>
          <w:tcPr>
            <w:tcW w:w="1629" w:type="dxa"/>
            <w:vAlign w:val="center"/>
          </w:tcPr>
          <w:p>
            <w:pPr>
              <w:pStyle w:val="20"/>
              <w:spacing w:before="64" w:after="64"/>
            </w:pPr>
          </w:p>
        </w:tc>
        <w:tc>
          <w:tcPr>
            <w:tcW w:w="854" w:type="dxa"/>
            <w:vAlign w:val="center"/>
          </w:tcPr>
          <w:p>
            <w:pPr>
              <w:pStyle w:val="20"/>
              <w:spacing w:before="64" w:after="64"/>
            </w:pPr>
          </w:p>
        </w:tc>
        <w:tc>
          <w:tcPr>
            <w:tcW w:w="1347" w:type="dxa"/>
            <w:vAlign w:val="center"/>
          </w:tcPr>
          <w:p>
            <w:pPr>
              <w:pStyle w:val="20"/>
              <w:spacing w:before="64" w:after="64"/>
            </w:pPr>
          </w:p>
        </w:tc>
        <w:tc>
          <w:tcPr>
            <w:tcW w:w="644" w:type="dxa"/>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50" w:type="dxa"/>
            <w:vAlign w:val="center"/>
          </w:tcPr>
          <w:p>
            <w:pPr>
              <w:pStyle w:val="20"/>
              <w:spacing w:before="64" w:after="64"/>
            </w:pPr>
            <w:r>
              <w:rPr>
                <w:rFonts w:hint="eastAsia"/>
              </w:rPr>
              <w:t>2</w:t>
            </w:r>
          </w:p>
        </w:tc>
        <w:tc>
          <w:tcPr>
            <w:tcW w:w="2548" w:type="dxa"/>
            <w:vAlign w:val="center"/>
          </w:tcPr>
          <w:p>
            <w:pPr>
              <w:pStyle w:val="20"/>
              <w:spacing w:before="64" w:after="64"/>
            </w:pPr>
          </w:p>
        </w:tc>
        <w:tc>
          <w:tcPr>
            <w:tcW w:w="854" w:type="dxa"/>
            <w:vAlign w:val="center"/>
          </w:tcPr>
          <w:p>
            <w:pPr>
              <w:pStyle w:val="20"/>
              <w:spacing w:before="64" w:after="64"/>
            </w:pPr>
          </w:p>
        </w:tc>
        <w:tc>
          <w:tcPr>
            <w:tcW w:w="1629" w:type="dxa"/>
            <w:vAlign w:val="center"/>
          </w:tcPr>
          <w:p>
            <w:pPr>
              <w:pStyle w:val="20"/>
              <w:spacing w:before="64" w:after="64"/>
            </w:pPr>
          </w:p>
        </w:tc>
        <w:tc>
          <w:tcPr>
            <w:tcW w:w="854" w:type="dxa"/>
            <w:vAlign w:val="center"/>
          </w:tcPr>
          <w:p>
            <w:pPr>
              <w:pStyle w:val="20"/>
              <w:spacing w:before="64" w:after="64"/>
            </w:pPr>
          </w:p>
        </w:tc>
        <w:tc>
          <w:tcPr>
            <w:tcW w:w="1347" w:type="dxa"/>
            <w:vAlign w:val="center"/>
          </w:tcPr>
          <w:p>
            <w:pPr>
              <w:pStyle w:val="20"/>
              <w:spacing w:before="64" w:after="64"/>
            </w:pPr>
          </w:p>
        </w:tc>
        <w:tc>
          <w:tcPr>
            <w:tcW w:w="644" w:type="dxa"/>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50" w:type="dxa"/>
            <w:vAlign w:val="center"/>
          </w:tcPr>
          <w:p>
            <w:pPr>
              <w:pStyle w:val="20"/>
              <w:spacing w:before="64" w:after="64"/>
            </w:pPr>
            <w:r>
              <w:rPr>
                <w:rFonts w:hint="eastAsia"/>
              </w:rPr>
              <w:t>3</w:t>
            </w:r>
          </w:p>
        </w:tc>
        <w:tc>
          <w:tcPr>
            <w:tcW w:w="2548" w:type="dxa"/>
            <w:vAlign w:val="center"/>
          </w:tcPr>
          <w:p>
            <w:pPr>
              <w:pStyle w:val="20"/>
              <w:spacing w:before="64" w:after="64"/>
            </w:pPr>
          </w:p>
        </w:tc>
        <w:tc>
          <w:tcPr>
            <w:tcW w:w="854" w:type="dxa"/>
            <w:vAlign w:val="center"/>
          </w:tcPr>
          <w:p>
            <w:pPr>
              <w:pStyle w:val="20"/>
              <w:spacing w:before="64" w:after="64"/>
            </w:pPr>
          </w:p>
        </w:tc>
        <w:tc>
          <w:tcPr>
            <w:tcW w:w="1629" w:type="dxa"/>
            <w:vAlign w:val="center"/>
          </w:tcPr>
          <w:p>
            <w:pPr>
              <w:pStyle w:val="20"/>
              <w:spacing w:before="64" w:after="64"/>
            </w:pPr>
          </w:p>
        </w:tc>
        <w:tc>
          <w:tcPr>
            <w:tcW w:w="854" w:type="dxa"/>
            <w:vAlign w:val="center"/>
          </w:tcPr>
          <w:p>
            <w:pPr>
              <w:pStyle w:val="20"/>
              <w:spacing w:before="64" w:after="64"/>
            </w:pPr>
          </w:p>
        </w:tc>
        <w:tc>
          <w:tcPr>
            <w:tcW w:w="1347" w:type="dxa"/>
            <w:vAlign w:val="center"/>
          </w:tcPr>
          <w:p>
            <w:pPr>
              <w:pStyle w:val="20"/>
              <w:spacing w:before="64" w:after="64"/>
            </w:pPr>
          </w:p>
        </w:tc>
        <w:tc>
          <w:tcPr>
            <w:tcW w:w="644" w:type="dxa"/>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50" w:type="dxa"/>
            <w:vAlign w:val="center"/>
          </w:tcPr>
          <w:p>
            <w:pPr>
              <w:pStyle w:val="20"/>
              <w:spacing w:before="64" w:after="64"/>
            </w:pPr>
            <w:r>
              <w:rPr>
                <w:rFonts w:hint="eastAsia"/>
              </w:rPr>
              <w:t>4</w:t>
            </w:r>
          </w:p>
        </w:tc>
        <w:tc>
          <w:tcPr>
            <w:tcW w:w="2548" w:type="dxa"/>
            <w:vAlign w:val="center"/>
          </w:tcPr>
          <w:p>
            <w:pPr>
              <w:pStyle w:val="20"/>
              <w:spacing w:before="64" w:after="64"/>
            </w:pPr>
          </w:p>
        </w:tc>
        <w:tc>
          <w:tcPr>
            <w:tcW w:w="854" w:type="dxa"/>
            <w:vAlign w:val="center"/>
          </w:tcPr>
          <w:p>
            <w:pPr>
              <w:pStyle w:val="20"/>
              <w:spacing w:before="64" w:after="64"/>
            </w:pPr>
          </w:p>
        </w:tc>
        <w:tc>
          <w:tcPr>
            <w:tcW w:w="1629" w:type="dxa"/>
            <w:vAlign w:val="center"/>
          </w:tcPr>
          <w:p>
            <w:pPr>
              <w:pStyle w:val="20"/>
              <w:spacing w:before="64" w:after="64"/>
            </w:pPr>
          </w:p>
        </w:tc>
        <w:tc>
          <w:tcPr>
            <w:tcW w:w="854" w:type="dxa"/>
            <w:vAlign w:val="center"/>
          </w:tcPr>
          <w:p>
            <w:pPr>
              <w:pStyle w:val="20"/>
              <w:spacing w:before="64" w:after="64"/>
            </w:pPr>
          </w:p>
        </w:tc>
        <w:tc>
          <w:tcPr>
            <w:tcW w:w="1347" w:type="dxa"/>
            <w:vAlign w:val="center"/>
          </w:tcPr>
          <w:p>
            <w:pPr>
              <w:pStyle w:val="20"/>
              <w:spacing w:before="64" w:after="64"/>
            </w:pPr>
          </w:p>
        </w:tc>
        <w:tc>
          <w:tcPr>
            <w:tcW w:w="644" w:type="dxa"/>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50" w:type="dxa"/>
            <w:vAlign w:val="center"/>
          </w:tcPr>
          <w:p>
            <w:pPr>
              <w:pStyle w:val="20"/>
              <w:spacing w:before="64" w:after="64"/>
            </w:pPr>
            <w:r>
              <w:rPr>
                <w:rFonts w:hint="eastAsia"/>
              </w:rPr>
              <w:t>5</w:t>
            </w:r>
          </w:p>
        </w:tc>
        <w:tc>
          <w:tcPr>
            <w:tcW w:w="2548" w:type="dxa"/>
            <w:vAlign w:val="center"/>
          </w:tcPr>
          <w:p>
            <w:pPr>
              <w:pStyle w:val="20"/>
              <w:spacing w:before="64" w:after="64"/>
            </w:pPr>
          </w:p>
        </w:tc>
        <w:tc>
          <w:tcPr>
            <w:tcW w:w="854" w:type="dxa"/>
            <w:vAlign w:val="center"/>
          </w:tcPr>
          <w:p>
            <w:pPr>
              <w:pStyle w:val="20"/>
              <w:spacing w:before="64" w:after="64"/>
            </w:pPr>
          </w:p>
        </w:tc>
        <w:tc>
          <w:tcPr>
            <w:tcW w:w="1629" w:type="dxa"/>
            <w:vAlign w:val="center"/>
          </w:tcPr>
          <w:p>
            <w:pPr>
              <w:pStyle w:val="20"/>
              <w:spacing w:before="64" w:after="64"/>
            </w:pPr>
          </w:p>
        </w:tc>
        <w:tc>
          <w:tcPr>
            <w:tcW w:w="854" w:type="dxa"/>
            <w:vAlign w:val="center"/>
          </w:tcPr>
          <w:p>
            <w:pPr>
              <w:pStyle w:val="20"/>
              <w:spacing w:before="64" w:after="64"/>
            </w:pPr>
          </w:p>
        </w:tc>
        <w:tc>
          <w:tcPr>
            <w:tcW w:w="1347" w:type="dxa"/>
            <w:vAlign w:val="center"/>
          </w:tcPr>
          <w:p>
            <w:pPr>
              <w:pStyle w:val="20"/>
              <w:spacing w:before="64" w:after="64"/>
            </w:pPr>
          </w:p>
        </w:tc>
        <w:tc>
          <w:tcPr>
            <w:tcW w:w="644" w:type="dxa"/>
            <w:vAlign w:val="center"/>
          </w:tcPr>
          <w:p>
            <w:pPr>
              <w:pStyle w:val="20"/>
              <w:spacing w:before="64" w:after="64"/>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50" w:type="dxa"/>
            <w:vAlign w:val="center"/>
          </w:tcPr>
          <w:p>
            <w:pPr>
              <w:pStyle w:val="20"/>
              <w:spacing w:before="64" w:after="64"/>
            </w:pPr>
            <w:r>
              <w:rPr>
                <w:rFonts w:hint="eastAsia"/>
              </w:rPr>
              <w:t>6</w:t>
            </w:r>
          </w:p>
        </w:tc>
        <w:tc>
          <w:tcPr>
            <w:tcW w:w="2548" w:type="dxa"/>
            <w:vAlign w:val="center"/>
          </w:tcPr>
          <w:p>
            <w:pPr>
              <w:pStyle w:val="20"/>
              <w:spacing w:before="64" w:after="64"/>
            </w:pPr>
          </w:p>
        </w:tc>
        <w:tc>
          <w:tcPr>
            <w:tcW w:w="854" w:type="dxa"/>
            <w:vAlign w:val="center"/>
          </w:tcPr>
          <w:p>
            <w:pPr>
              <w:pStyle w:val="20"/>
              <w:spacing w:before="64" w:after="64"/>
            </w:pPr>
          </w:p>
        </w:tc>
        <w:tc>
          <w:tcPr>
            <w:tcW w:w="1629" w:type="dxa"/>
            <w:vAlign w:val="center"/>
          </w:tcPr>
          <w:p>
            <w:pPr>
              <w:pStyle w:val="20"/>
              <w:spacing w:before="64" w:after="64"/>
            </w:pPr>
          </w:p>
        </w:tc>
        <w:tc>
          <w:tcPr>
            <w:tcW w:w="854" w:type="dxa"/>
            <w:vAlign w:val="center"/>
          </w:tcPr>
          <w:p>
            <w:pPr>
              <w:pStyle w:val="20"/>
              <w:spacing w:before="64" w:after="64"/>
            </w:pPr>
          </w:p>
        </w:tc>
        <w:tc>
          <w:tcPr>
            <w:tcW w:w="1347" w:type="dxa"/>
            <w:vAlign w:val="center"/>
          </w:tcPr>
          <w:p>
            <w:pPr>
              <w:pStyle w:val="20"/>
              <w:spacing w:before="64" w:after="64"/>
            </w:pPr>
          </w:p>
        </w:tc>
        <w:tc>
          <w:tcPr>
            <w:tcW w:w="644" w:type="dxa"/>
            <w:vAlign w:val="center"/>
          </w:tcPr>
          <w:p>
            <w:pPr>
              <w:pStyle w:val="20"/>
              <w:spacing w:before="64" w:after="64"/>
            </w:pPr>
          </w:p>
        </w:tc>
      </w:tr>
    </w:tbl>
    <w:p>
      <w:pPr>
        <w:spacing w:line="312" w:lineRule="exact"/>
        <w:rPr>
          <w:rFonts w:ascii="宋体" w:hAnsi="宋体"/>
          <w:snapToGrid w:val="0"/>
          <w:kern w:val="0"/>
        </w:rPr>
      </w:pPr>
    </w:p>
    <w:p>
      <w:pPr>
        <w:pStyle w:val="13"/>
        <w:rPr>
          <w:snapToGrid w:val="0"/>
          <w:kern w:val="0"/>
        </w:rPr>
      </w:pPr>
      <w:bookmarkStart w:id="254" w:name="_Toc256367613"/>
      <w:bookmarkStart w:id="255" w:name="_Toc250741863"/>
      <w:bookmarkStart w:id="256" w:name="_Toc247772990"/>
      <w:bookmarkStart w:id="257" w:name="_Toc250623514"/>
      <w:bookmarkStart w:id="258" w:name="_Toc250561860"/>
      <w:r>
        <w:rPr>
          <w:rFonts w:hint="eastAsia"/>
          <w:snapToGrid w:val="0"/>
          <w:kern w:val="0"/>
        </w:rPr>
        <w:t>2.4　图纸资料提交单位</w:t>
      </w:r>
      <w:bookmarkEnd w:id="254"/>
      <w:bookmarkEnd w:id="255"/>
      <w:bookmarkEnd w:id="256"/>
      <w:bookmarkEnd w:id="257"/>
      <w:bookmarkEnd w:id="258"/>
    </w:p>
    <w:p>
      <w:pPr>
        <w:spacing w:line="312" w:lineRule="exact"/>
        <w:ind w:firstLine="420"/>
        <w:rPr>
          <w:snapToGrid w:val="0"/>
          <w:kern w:val="0"/>
          <w:szCs w:val="21"/>
        </w:rPr>
      </w:pPr>
      <w:r>
        <w:rPr>
          <w:rFonts w:hint="eastAsia" w:hAnsi="宋体"/>
          <w:snapToGrid w:val="0"/>
          <w:kern w:val="0"/>
          <w:szCs w:val="21"/>
        </w:rPr>
        <w:t>经确认的图纸资料应由卖方提交表6所列单位。</w:t>
      </w:r>
    </w:p>
    <w:p>
      <w:pPr>
        <w:pStyle w:val="16"/>
      </w:pPr>
      <w:r>
        <w:rPr>
          <w:rFonts w:hint="eastAsia"/>
        </w:rPr>
        <w:t>表6　卖方提交的须经确认的图纸资料及其接收单位</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92"/>
        <w:gridCol w:w="3485"/>
        <w:gridCol w:w="716"/>
        <w:gridCol w:w="26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492" w:type="dxa"/>
            <w:tcMar>
              <w:left w:w="0" w:type="dxa"/>
              <w:right w:w="0" w:type="dxa"/>
            </w:tcMar>
            <w:vAlign w:val="center"/>
          </w:tcPr>
          <w:p>
            <w:pPr>
              <w:pStyle w:val="20"/>
              <w:spacing w:before="80" w:after="80"/>
              <w:rPr>
                <w:snapToGrid w:val="0"/>
                <w:kern w:val="0"/>
              </w:rPr>
            </w:pPr>
            <w:r>
              <w:rPr>
                <w:rFonts w:hint="eastAsia"/>
                <w:snapToGrid w:val="0"/>
                <w:kern w:val="0"/>
              </w:rPr>
              <w:t>提交图纸资料名称</w:t>
            </w:r>
          </w:p>
        </w:tc>
        <w:tc>
          <w:tcPr>
            <w:tcW w:w="3485" w:type="dxa"/>
            <w:tcMar>
              <w:left w:w="0" w:type="dxa"/>
              <w:right w:w="0" w:type="dxa"/>
            </w:tcMar>
            <w:vAlign w:val="center"/>
          </w:tcPr>
          <w:p>
            <w:pPr>
              <w:pStyle w:val="20"/>
              <w:spacing w:before="80" w:after="80"/>
              <w:rPr>
                <w:snapToGrid w:val="0"/>
                <w:kern w:val="0"/>
              </w:rPr>
            </w:pPr>
            <w:r>
              <w:rPr>
                <w:rFonts w:hint="eastAsia"/>
                <w:snapToGrid w:val="0"/>
                <w:kern w:val="0"/>
              </w:rPr>
              <w:t>接收图纸单位名称、地址、邮编、电话</w:t>
            </w:r>
          </w:p>
        </w:tc>
        <w:tc>
          <w:tcPr>
            <w:tcW w:w="716" w:type="dxa"/>
            <w:tcMar>
              <w:left w:w="0" w:type="dxa"/>
              <w:right w:w="0" w:type="dxa"/>
            </w:tcMar>
            <w:vAlign w:val="center"/>
          </w:tcPr>
          <w:p>
            <w:pPr>
              <w:pStyle w:val="20"/>
              <w:spacing w:before="80" w:after="80"/>
              <w:rPr>
                <w:snapToGrid w:val="0"/>
                <w:kern w:val="0"/>
              </w:rPr>
            </w:pPr>
            <w:r>
              <w:rPr>
                <w:rFonts w:hint="eastAsia"/>
                <w:snapToGrid w:val="0"/>
                <w:kern w:val="0"/>
              </w:rPr>
              <w:t>提交份数</w:t>
            </w:r>
          </w:p>
        </w:tc>
        <w:tc>
          <w:tcPr>
            <w:tcW w:w="2633" w:type="dxa"/>
            <w:tcMar>
              <w:left w:w="0" w:type="dxa"/>
              <w:right w:w="0" w:type="dxa"/>
            </w:tcMar>
            <w:vAlign w:val="center"/>
          </w:tcPr>
          <w:p>
            <w:pPr>
              <w:pStyle w:val="20"/>
              <w:spacing w:before="80" w:after="80"/>
              <w:rPr>
                <w:snapToGrid w:val="0"/>
                <w:kern w:val="0"/>
              </w:rPr>
            </w:pPr>
            <w:r>
              <w:rPr>
                <w:rFonts w:hint="eastAsia"/>
                <w:snapToGrid w:val="0"/>
                <w:kern w:val="0"/>
              </w:rPr>
              <w:t>提  交  时  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74" w:hRule="atLeast"/>
          <w:jc w:val="center"/>
        </w:trPr>
        <w:tc>
          <w:tcPr>
            <w:tcW w:w="1492" w:type="dxa"/>
            <w:tcMar>
              <w:left w:w="0" w:type="dxa"/>
              <w:right w:w="0" w:type="dxa"/>
            </w:tcMar>
            <w:vAlign w:val="center"/>
          </w:tcPr>
          <w:p>
            <w:pPr>
              <w:pStyle w:val="20"/>
              <w:spacing w:before="70" w:after="70"/>
              <w:rPr>
                <w:snapToGrid w:val="0"/>
                <w:kern w:val="0"/>
              </w:rPr>
            </w:pPr>
            <w:r>
              <w:rPr>
                <w:rFonts w:hint="eastAsia"/>
                <w:snapToGrid w:val="0"/>
                <w:kern w:val="0"/>
              </w:rPr>
              <w:t>认可图、最终图</w:t>
            </w:r>
            <w:r>
              <w:rPr>
                <w:snapToGrid w:val="0"/>
                <w:kern w:val="0"/>
              </w:rPr>
              <w:br w:type="textWrapping"/>
            </w:r>
            <w:r>
              <w:rPr>
                <w:rFonts w:hint="eastAsia"/>
                <w:snapToGrid w:val="0"/>
                <w:kern w:val="0"/>
              </w:rPr>
              <w:t>说明书</w:t>
            </w:r>
            <w:r>
              <w:rPr>
                <w:snapToGrid w:val="0"/>
                <w:kern w:val="0"/>
              </w:rPr>
              <w:br w:type="textWrapping"/>
            </w:r>
            <w:r>
              <w:rPr>
                <w:rFonts w:hint="eastAsia"/>
                <w:snapToGrid w:val="0"/>
                <w:kern w:val="0"/>
              </w:rPr>
              <w:t>出厂试验报告</w:t>
            </w:r>
            <w:r>
              <w:rPr>
                <w:snapToGrid w:val="0"/>
                <w:kern w:val="0"/>
              </w:rPr>
              <w:br w:type="textWrapping"/>
            </w:r>
            <w:r>
              <w:rPr>
                <w:rFonts w:hint="eastAsia"/>
                <w:snapToGrid w:val="0"/>
                <w:kern w:val="0"/>
              </w:rPr>
              <w:t>（附电子文档）</w:t>
            </w:r>
          </w:p>
        </w:tc>
        <w:tc>
          <w:tcPr>
            <w:tcW w:w="3485" w:type="dxa"/>
            <w:tcMar>
              <w:left w:w="0" w:type="dxa"/>
              <w:right w:w="0" w:type="dxa"/>
            </w:tcMar>
            <w:vAlign w:val="center"/>
          </w:tcPr>
          <w:p>
            <w:pPr>
              <w:topLinePunct/>
              <w:snapToGrid w:val="0"/>
              <w:spacing w:beforeLines="25" w:afterLines="25"/>
              <w:rPr>
                <w:snapToGrid w:val="0"/>
                <w:kern w:val="0"/>
                <w:sz w:val="18"/>
                <w:szCs w:val="18"/>
              </w:rPr>
            </w:pPr>
            <w:r>
              <w:rPr>
                <w:rFonts w:hint="eastAsia"/>
                <w:snapToGrid w:val="0"/>
                <w:kern w:val="0"/>
                <w:sz w:val="18"/>
                <w:szCs w:val="18"/>
              </w:rPr>
              <w:t>单位名称：秦皇岛福电电力工程设计有限公司</w:t>
            </w:r>
          </w:p>
          <w:p>
            <w:pPr>
              <w:topLinePunct/>
              <w:snapToGrid w:val="0"/>
              <w:spacing w:beforeLines="25" w:afterLines="25"/>
              <w:rPr>
                <w:snapToGrid w:val="0"/>
                <w:kern w:val="0"/>
                <w:sz w:val="18"/>
                <w:szCs w:val="18"/>
              </w:rPr>
            </w:pPr>
            <w:r>
              <w:rPr>
                <w:rFonts w:hint="eastAsia"/>
                <w:snapToGrid w:val="0"/>
                <w:kern w:val="0"/>
                <w:sz w:val="18"/>
                <w:szCs w:val="18"/>
              </w:rPr>
              <w:t>地址：河北省秦皇岛海港区大秦左岸290</w:t>
            </w:r>
          </w:p>
          <w:p>
            <w:pPr>
              <w:topLinePunct/>
              <w:snapToGrid w:val="0"/>
              <w:spacing w:beforeLines="25" w:afterLines="25"/>
              <w:rPr>
                <w:snapToGrid w:val="0"/>
                <w:kern w:val="0"/>
                <w:sz w:val="18"/>
                <w:szCs w:val="18"/>
              </w:rPr>
            </w:pPr>
            <w:r>
              <w:rPr>
                <w:rFonts w:hint="eastAsia"/>
                <w:snapToGrid w:val="0"/>
                <w:kern w:val="0"/>
                <w:sz w:val="18"/>
                <w:szCs w:val="18"/>
              </w:rPr>
              <w:t>邮编：066000</w:t>
            </w:r>
          </w:p>
          <w:p>
            <w:pPr>
              <w:topLinePunct/>
              <w:snapToGrid w:val="0"/>
              <w:spacing w:before="60" w:after="60"/>
              <w:rPr>
                <w:rFonts w:hint="eastAsia" w:eastAsia="宋体"/>
                <w:snapToGrid w:val="0"/>
                <w:kern w:val="0"/>
                <w:sz w:val="18"/>
                <w:szCs w:val="21"/>
                <w:lang w:val="en-US" w:eastAsia="zh-CN"/>
              </w:rPr>
            </w:pPr>
            <w:r>
              <w:rPr>
                <w:rFonts w:hint="eastAsia"/>
                <w:snapToGrid w:val="0"/>
                <w:kern w:val="0"/>
                <w:sz w:val="18"/>
                <w:szCs w:val="18"/>
              </w:rPr>
              <w:t>电话：0335-33876</w:t>
            </w:r>
            <w:r>
              <w:rPr>
                <w:rFonts w:hint="eastAsia"/>
                <w:snapToGrid w:val="0"/>
                <w:kern w:val="0"/>
                <w:sz w:val="18"/>
                <w:szCs w:val="18"/>
                <w:lang w:val="en-US" w:eastAsia="zh-CN"/>
              </w:rPr>
              <w:t>54</w:t>
            </w:r>
          </w:p>
        </w:tc>
        <w:tc>
          <w:tcPr>
            <w:tcW w:w="716" w:type="dxa"/>
            <w:tcMar>
              <w:left w:w="0" w:type="dxa"/>
              <w:right w:w="0" w:type="dxa"/>
            </w:tcMar>
            <w:vAlign w:val="center"/>
          </w:tcPr>
          <w:p>
            <w:pPr>
              <w:overflowPunct w:val="0"/>
              <w:topLinePunct/>
              <w:jc w:val="center"/>
              <w:rPr>
                <w:color w:val="000000"/>
                <w:sz w:val="18"/>
                <w:szCs w:val="18"/>
              </w:rPr>
            </w:pPr>
            <w:r>
              <w:rPr>
                <w:rFonts w:hint="eastAsia"/>
                <w:color w:val="000000"/>
                <w:sz w:val="18"/>
                <w:szCs w:val="18"/>
              </w:rPr>
              <w:t>2</w:t>
            </w:r>
          </w:p>
        </w:tc>
        <w:tc>
          <w:tcPr>
            <w:tcW w:w="2633" w:type="dxa"/>
            <w:vMerge w:val="restart"/>
            <w:tcMar>
              <w:left w:w="0" w:type="dxa"/>
              <w:right w:w="0" w:type="dxa"/>
            </w:tcMar>
            <w:vAlign w:val="center"/>
          </w:tcPr>
          <w:p>
            <w:pPr>
              <w:pStyle w:val="20"/>
              <w:spacing w:before="80" w:after="0"/>
              <w:ind w:left="42" w:leftChars="20" w:right="42" w:rightChars="20" w:firstLine="180" w:firstLineChars="100"/>
              <w:jc w:val="both"/>
              <w:rPr>
                <w:snapToGrid w:val="0"/>
                <w:kern w:val="0"/>
              </w:rPr>
            </w:pPr>
            <w:r>
              <w:rPr>
                <w:rFonts w:hint="eastAsia"/>
                <w:snapToGrid w:val="0"/>
                <w:kern w:val="0"/>
              </w:rPr>
              <w:t>1）技术协议签订后2周内，供货商应提供认可图纸。</w:t>
            </w:r>
          </w:p>
          <w:p>
            <w:pPr>
              <w:pStyle w:val="20"/>
              <w:spacing w:before="0" w:after="0"/>
              <w:ind w:left="42" w:leftChars="20" w:right="42" w:rightChars="20" w:firstLine="180" w:firstLineChars="100"/>
              <w:jc w:val="both"/>
              <w:rPr>
                <w:snapToGrid w:val="0"/>
                <w:kern w:val="0"/>
              </w:rPr>
            </w:pPr>
            <w:r>
              <w:rPr>
                <w:rFonts w:hint="eastAsia"/>
                <w:snapToGrid w:val="0"/>
                <w:kern w:val="0"/>
              </w:rPr>
              <w:t>2）工程师在收到认可图纸后2周内，应将经确认的1份图纸寄送给供货商。</w:t>
            </w:r>
          </w:p>
          <w:p>
            <w:pPr>
              <w:pStyle w:val="20"/>
              <w:spacing w:before="0" w:after="80"/>
              <w:ind w:left="42" w:leftChars="20" w:right="42" w:rightChars="20" w:firstLine="180" w:firstLineChars="100"/>
              <w:jc w:val="both"/>
              <w:rPr>
                <w:snapToGrid w:val="0"/>
                <w:kern w:val="0"/>
              </w:rPr>
            </w:pPr>
            <w:r>
              <w:rPr>
                <w:rFonts w:hint="eastAsia"/>
                <w:snapToGrid w:val="0"/>
                <w:kern w:val="0"/>
              </w:rPr>
              <w:t>3）</w:t>
            </w:r>
            <w:r>
              <w:rPr>
                <w:rFonts w:hint="eastAsia"/>
                <w:snapToGrid w:val="0"/>
                <w:spacing w:val="2"/>
                <w:kern w:val="0"/>
              </w:rPr>
              <w:t>供货商收到经确认的图纸2周内</w:t>
            </w:r>
            <w:r>
              <w:rPr>
                <w:rFonts w:hint="eastAsia"/>
                <w:snapToGrid w:val="0"/>
                <w:kern w:val="0"/>
              </w:rPr>
              <w:t>提出最终图纸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jc w:val="center"/>
        </w:trPr>
        <w:tc>
          <w:tcPr>
            <w:tcW w:w="1492" w:type="dxa"/>
            <w:tcMar>
              <w:left w:w="0" w:type="dxa"/>
              <w:right w:w="0" w:type="dxa"/>
            </w:tcMar>
            <w:vAlign w:val="center"/>
          </w:tcPr>
          <w:p>
            <w:pPr>
              <w:pStyle w:val="20"/>
              <w:spacing w:before="70" w:after="70"/>
              <w:rPr>
                <w:snapToGrid w:val="0"/>
                <w:kern w:val="0"/>
              </w:rPr>
            </w:pPr>
            <w:r>
              <w:rPr>
                <w:rFonts w:hint="eastAsia"/>
                <w:snapToGrid w:val="0"/>
                <w:kern w:val="0"/>
              </w:rPr>
              <w:t>认可图、最终图</w:t>
            </w:r>
            <w:r>
              <w:rPr>
                <w:snapToGrid w:val="0"/>
                <w:kern w:val="0"/>
              </w:rPr>
              <w:br w:type="textWrapping"/>
            </w:r>
            <w:r>
              <w:rPr>
                <w:rFonts w:hint="eastAsia"/>
                <w:snapToGrid w:val="0"/>
                <w:kern w:val="0"/>
              </w:rPr>
              <w:t>说明书</w:t>
            </w:r>
            <w:r>
              <w:rPr>
                <w:snapToGrid w:val="0"/>
                <w:kern w:val="0"/>
              </w:rPr>
              <w:br w:type="textWrapping"/>
            </w:r>
            <w:r>
              <w:rPr>
                <w:rFonts w:hint="eastAsia" w:ascii="宋体" w:hAnsi="宋体"/>
                <w:color w:val="000000"/>
              </w:rPr>
              <w:t>出厂试验报告</w:t>
            </w:r>
            <w:r>
              <w:rPr>
                <w:snapToGrid w:val="0"/>
                <w:kern w:val="0"/>
              </w:rPr>
              <w:br w:type="textWrapping"/>
            </w:r>
            <w:r>
              <w:rPr>
                <w:rFonts w:hint="eastAsia"/>
                <w:snapToGrid w:val="0"/>
                <w:kern w:val="0"/>
              </w:rPr>
              <w:t>（附电子文档）</w:t>
            </w:r>
          </w:p>
        </w:tc>
        <w:tc>
          <w:tcPr>
            <w:tcW w:w="3485" w:type="dxa"/>
            <w:tcMar>
              <w:left w:w="0" w:type="dxa"/>
              <w:right w:w="0" w:type="dxa"/>
            </w:tcMar>
            <w:vAlign w:val="center"/>
          </w:tcPr>
          <w:p>
            <w:pPr>
              <w:topLinePunct/>
              <w:snapToGrid w:val="0"/>
              <w:spacing w:before="60" w:after="60"/>
              <w:jc w:val="center"/>
              <w:rPr>
                <w:snapToGrid w:val="0"/>
                <w:kern w:val="0"/>
                <w:sz w:val="18"/>
                <w:szCs w:val="21"/>
              </w:rPr>
            </w:pPr>
            <w:r>
              <w:rPr>
                <w:rFonts w:hint="eastAsia"/>
                <w:snapToGrid w:val="0"/>
                <w:kern w:val="0"/>
                <w:sz w:val="18"/>
                <w:szCs w:val="18"/>
              </w:rPr>
              <w:t>单位名称：</w:t>
            </w:r>
            <w:r>
              <w:rPr>
                <w:rFonts w:hint="eastAsia"/>
                <w:snapToGrid w:val="0"/>
                <w:kern w:val="0"/>
                <w:sz w:val="18"/>
                <w:szCs w:val="18"/>
                <w:lang w:eastAsia="zh-CN"/>
              </w:rPr>
              <w:t>华能新能源股份</w:t>
            </w:r>
            <w:r>
              <w:rPr>
                <w:rFonts w:hint="eastAsia"/>
                <w:snapToGrid w:val="0"/>
                <w:kern w:val="0"/>
                <w:sz w:val="18"/>
                <w:szCs w:val="18"/>
              </w:rPr>
              <w:t>有限公司</w:t>
            </w:r>
          </w:p>
        </w:tc>
        <w:tc>
          <w:tcPr>
            <w:tcW w:w="716" w:type="dxa"/>
            <w:tcMar>
              <w:left w:w="0" w:type="dxa"/>
              <w:right w:w="0" w:type="dxa"/>
            </w:tcMar>
            <w:vAlign w:val="center"/>
          </w:tcPr>
          <w:p>
            <w:pPr>
              <w:overflowPunct w:val="0"/>
              <w:topLinePunct/>
              <w:jc w:val="center"/>
              <w:rPr>
                <w:color w:val="000000"/>
                <w:sz w:val="18"/>
                <w:szCs w:val="18"/>
              </w:rPr>
            </w:pPr>
            <w:r>
              <w:rPr>
                <w:rFonts w:hint="eastAsia"/>
                <w:snapToGrid w:val="0"/>
                <w:kern w:val="0"/>
                <w:sz w:val="18"/>
                <w:szCs w:val="21"/>
              </w:rPr>
              <w:t>6</w:t>
            </w:r>
          </w:p>
        </w:tc>
        <w:tc>
          <w:tcPr>
            <w:tcW w:w="2633" w:type="dxa"/>
            <w:vMerge w:val="continue"/>
            <w:tcMar>
              <w:left w:w="0" w:type="dxa"/>
              <w:right w:w="0" w:type="dxa"/>
            </w:tcMar>
            <w:vAlign w:val="center"/>
          </w:tcPr>
          <w:p>
            <w:pPr>
              <w:pStyle w:val="20"/>
              <w:rPr>
                <w:snapToGrid w:val="0"/>
                <w:kern w:val="0"/>
              </w:rPr>
            </w:pPr>
          </w:p>
        </w:tc>
      </w:tr>
    </w:tbl>
    <w:p>
      <w:pPr>
        <w:snapToGrid w:val="0"/>
        <w:spacing w:line="312" w:lineRule="exact"/>
        <w:ind w:firstLine="420"/>
        <w:rPr>
          <w:rFonts w:ascii="宋体" w:hAnsi="宋体"/>
          <w:snapToGrid w:val="0"/>
          <w:kern w:val="0"/>
          <w:szCs w:val="21"/>
        </w:rPr>
      </w:pPr>
    </w:p>
    <w:p>
      <w:pPr>
        <w:pStyle w:val="13"/>
        <w:rPr>
          <w:snapToGrid w:val="0"/>
          <w:kern w:val="0"/>
        </w:rPr>
      </w:pPr>
      <w:bookmarkStart w:id="259" w:name="_Toc256367614"/>
      <w:bookmarkStart w:id="260" w:name="_Toc250741864"/>
      <w:bookmarkStart w:id="261" w:name="_Toc250623515"/>
      <w:bookmarkStart w:id="262" w:name="_Toc250561861"/>
      <w:bookmarkStart w:id="263" w:name="_Toc247772991"/>
      <w:r>
        <w:rPr>
          <w:rFonts w:hint="eastAsia"/>
          <w:snapToGrid w:val="0"/>
          <w:kern w:val="0"/>
        </w:rPr>
        <w:t>2.5　工程概况</w:t>
      </w:r>
      <w:bookmarkEnd w:id="259"/>
      <w:bookmarkEnd w:id="260"/>
      <w:bookmarkEnd w:id="261"/>
      <w:bookmarkEnd w:id="262"/>
      <w:bookmarkEnd w:id="263"/>
    </w:p>
    <w:p>
      <w:pPr>
        <w:tabs>
          <w:tab w:val="left" w:pos="3420"/>
          <w:tab w:val="left" w:pos="5040"/>
          <w:tab w:val="left" w:pos="7200"/>
          <w:tab w:val="left" w:pos="7380"/>
          <w:tab w:val="left" w:pos="7560"/>
          <w:tab w:val="left" w:pos="7740"/>
          <w:tab w:val="left" w:pos="7920"/>
        </w:tabs>
        <w:rPr>
          <w:rFonts w:hint="eastAsia" w:ascii="宋体" w:hAnsi="宋体" w:eastAsia="宋体"/>
          <w:b/>
          <w:color w:val="000000" w:themeColor="text1"/>
          <w:sz w:val="36"/>
          <w:szCs w:val="36"/>
          <w:highlight w:val="none"/>
          <w:lang w:val="en-US" w:eastAsia="zh-CN"/>
          <w14:textFill>
            <w14:solidFill>
              <w14:schemeClr w14:val="tx1"/>
            </w14:solidFill>
          </w14:textFill>
        </w:rPr>
      </w:pPr>
      <w:bookmarkStart w:id="264" w:name="_Toc272671129"/>
      <w:bookmarkStart w:id="265" w:name="_Toc247772992"/>
      <w:bookmarkStart w:id="266" w:name="_Toc250561862"/>
      <w:bookmarkStart w:id="267" w:name="_Toc250623516"/>
      <w:bookmarkStart w:id="268" w:name="_Toc250741865"/>
      <w:bookmarkStart w:id="269" w:name="_Toc256367620"/>
      <w:r>
        <w:rPr>
          <w:rFonts w:hint="eastAsia" w:ascii="宋体" w:hAnsi="宋体"/>
          <w:snapToGrid w:val="0"/>
          <w:color w:val="000000" w:themeColor="text1"/>
          <w:kern w:val="0"/>
          <w:highlight w:val="none"/>
          <w14:textFill>
            <w14:solidFill>
              <w14:schemeClr w14:val="tx1"/>
            </w14:solidFill>
          </w14:textFill>
        </w:rPr>
        <w:t>1）项目名称：</w:t>
      </w:r>
      <w:r>
        <w:rPr>
          <w:rFonts w:hint="eastAsia" w:ascii="宋体" w:hAnsi="宋体"/>
          <w:snapToGrid w:val="0"/>
          <w:color w:val="000000" w:themeColor="text1"/>
          <w:kern w:val="0"/>
          <w:highlight w:val="none"/>
          <w:lang w:eastAsia="zh-CN"/>
          <w14:textFill>
            <w14:solidFill>
              <w14:schemeClr w14:val="tx1"/>
            </w14:solidFill>
          </w14:textFill>
        </w:rPr>
        <w:t>青龙建昊土门子215MW光伏发电项目-220kV平方站220kV间隔扩建工程</w:t>
      </w:r>
    </w:p>
    <w:p>
      <w:pPr>
        <w:jc w:val="left"/>
        <w:rPr>
          <w:rFonts w:hint="eastAsia" w:eastAsia="宋体"/>
          <w:snapToGrid w:val="0"/>
          <w:color w:val="000000" w:themeColor="text1"/>
          <w:kern w:val="0"/>
          <w:sz w:val="18"/>
          <w:szCs w:val="18"/>
          <w:highlight w:val="none"/>
          <w:lang w:eastAsia="zh-CN"/>
          <w14:textFill>
            <w14:solidFill>
              <w14:schemeClr w14:val="tx1"/>
            </w14:solidFill>
          </w14:textFill>
        </w:rPr>
      </w:pPr>
      <w:r>
        <w:rPr>
          <w:rFonts w:hint="eastAsia" w:ascii="宋体" w:hAnsi="宋体"/>
          <w:snapToGrid w:val="0"/>
          <w:color w:val="000000" w:themeColor="text1"/>
          <w:kern w:val="0"/>
          <w:highlight w:val="none"/>
          <w14:textFill>
            <w14:solidFill>
              <w14:schemeClr w14:val="tx1"/>
            </w14:solidFill>
          </w14:textFill>
        </w:rPr>
        <w:t>2）项目单位：</w:t>
      </w:r>
      <w:bookmarkEnd w:id="264"/>
      <w:r>
        <w:rPr>
          <w:rFonts w:hint="eastAsia" w:ascii="宋体" w:hAnsi="宋体"/>
          <w:snapToGrid w:val="0"/>
          <w:color w:val="000000" w:themeColor="text1"/>
          <w:kern w:val="0"/>
          <w:highlight w:val="none"/>
          <w:lang w:eastAsia="zh-CN"/>
          <w14:textFill>
            <w14:solidFill>
              <w14:schemeClr w14:val="tx1"/>
            </w14:solidFill>
          </w14:textFill>
        </w:rPr>
        <w:t>青龙满族自治县建昊光伏科技有限公司</w:t>
      </w:r>
    </w:p>
    <w:p>
      <w:pPr>
        <w:adjustRightInd/>
        <w:rPr>
          <w:rFonts w:hint="eastAsia" w:ascii="Times New Roman" w:hAnsi="宋体" w:eastAsia="宋体" w:cs="Times New Roman"/>
          <w:color w:val="000000" w:themeColor="text1"/>
          <w:spacing w:val="10"/>
          <w:szCs w:val="22"/>
          <w:highlight w:val="none"/>
          <w:lang w:eastAsia="zh-CN"/>
          <w14:textFill>
            <w14:solidFill>
              <w14:schemeClr w14:val="tx1"/>
            </w14:solidFill>
          </w14:textFill>
        </w:rPr>
      </w:pPr>
      <w:r>
        <w:rPr>
          <w:rFonts w:hint="eastAsia" w:ascii="宋体" w:hAnsi="宋体"/>
          <w:snapToGrid w:val="0"/>
          <w:color w:val="000000" w:themeColor="text1"/>
          <w:kern w:val="0"/>
          <w:highlight w:val="none"/>
          <w14:textFill>
            <w14:solidFill>
              <w14:schemeClr w14:val="tx1"/>
            </w14:solidFill>
          </w14:textFill>
        </w:rPr>
        <w:t>3）工程规模：</w:t>
      </w:r>
      <w:r>
        <w:rPr>
          <w:rFonts w:hint="eastAsia" w:hAnsi="宋体" w:eastAsia="宋体"/>
          <w:color w:val="000000" w:themeColor="text1"/>
          <w:spacing w:val="10"/>
          <w:highlight w:val="none"/>
          <w14:textFill>
            <w14:solidFill>
              <w14:schemeClr w14:val="tx1"/>
            </w14:solidFill>
          </w14:textFill>
        </w:rPr>
        <w:t>本工程将在平方站内新扩建一个220kV出线间隔作为建昊土门子215MW光伏发电项目出线间隔。</w:t>
      </w:r>
    </w:p>
    <w:p>
      <w:pPr>
        <w:jc w:val="left"/>
        <w:rPr>
          <w:snapToGrid w:val="0"/>
          <w:color w:val="000000" w:themeColor="text1"/>
          <w:kern w:val="0"/>
          <w:highlight w:val="none"/>
          <w14:textFill>
            <w14:solidFill>
              <w14:schemeClr w14:val="tx1"/>
            </w14:solidFill>
          </w14:textFill>
        </w:rPr>
      </w:pPr>
      <w:r>
        <w:rPr>
          <w:snapToGrid w:val="0"/>
          <w:color w:val="000000" w:themeColor="text1"/>
          <w:kern w:val="0"/>
          <w:highlight w:val="none"/>
          <w14:textFill>
            <w14:solidFill>
              <w14:schemeClr w14:val="tx1"/>
            </w14:solidFill>
          </w14:textFill>
        </w:rPr>
        <w:t>4）工程地址</w:t>
      </w:r>
      <w:r>
        <w:rPr>
          <w:rFonts w:hint="eastAsia"/>
          <w:snapToGrid w:val="0"/>
          <w:color w:val="000000" w:themeColor="text1"/>
          <w:kern w:val="0"/>
          <w:highlight w:val="none"/>
          <w14:textFill>
            <w14:solidFill>
              <w14:schemeClr w14:val="tx1"/>
            </w14:solidFill>
          </w14:textFill>
        </w:rPr>
        <w:t>：秦皇岛市</w:t>
      </w:r>
      <w:r>
        <w:rPr>
          <w:rFonts w:hint="eastAsia"/>
          <w:snapToGrid w:val="0"/>
          <w:color w:val="000000" w:themeColor="text1"/>
          <w:kern w:val="0"/>
          <w:highlight w:val="none"/>
          <w:lang w:eastAsia="zh-CN"/>
          <w14:textFill>
            <w14:solidFill>
              <w14:schemeClr w14:val="tx1"/>
            </w14:solidFill>
          </w14:textFill>
        </w:rPr>
        <w:t>青龙</w:t>
      </w:r>
      <w:r>
        <w:rPr>
          <w:rFonts w:hint="eastAsia"/>
          <w:snapToGrid w:val="0"/>
          <w:color w:val="000000" w:themeColor="text1"/>
          <w:kern w:val="0"/>
          <w:highlight w:val="none"/>
          <w14:textFill>
            <w14:solidFill>
              <w14:schemeClr w14:val="tx1"/>
            </w14:solidFill>
          </w14:textFill>
        </w:rPr>
        <w:t>县</w:t>
      </w:r>
    </w:p>
    <w:p>
      <w:pPr>
        <w:jc w:val="left"/>
        <w:rPr>
          <w:snapToGrid w:val="0"/>
          <w:kern w:val="0"/>
          <w:sz w:val="18"/>
          <w:szCs w:val="18"/>
        </w:rPr>
      </w:pPr>
      <w:r>
        <w:rPr>
          <w:snapToGrid w:val="0"/>
          <w:kern w:val="0"/>
        </w:rPr>
        <w:t>5）交通、运输</w:t>
      </w:r>
      <w:r>
        <w:rPr>
          <w:rFonts w:hint="eastAsia"/>
          <w:snapToGrid w:val="0"/>
          <w:kern w:val="0"/>
        </w:rPr>
        <w:t>：公路</w:t>
      </w:r>
    </w:p>
    <w:p>
      <w:pPr>
        <w:pStyle w:val="13"/>
        <w:rPr>
          <w:snapToGrid w:val="0"/>
          <w:kern w:val="0"/>
        </w:rPr>
      </w:pPr>
      <w:bookmarkStart w:id="315" w:name="_GoBack"/>
      <w:bookmarkEnd w:id="315"/>
      <w:r>
        <w:rPr>
          <w:rFonts w:hint="eastAsia"/>
          <w:snapToGrid w:val="0"/>
          <w:kern w:val="0"/>
        </w:rPr>
        <w:t>2.6　使用条件</w:t>
      </w:r>
      <w:bookmarkEnd w:id="265"/>
      <w:bookmarkEnd w:id="266"/>
      <w:bookmarkEnd w:id="267"/>
      <w:bookmarkEnd w:id="268"/>
      <w:r>
        <w:rPr>
          <w:rFonts w:hint="eastAsia"/>
          <w:snapToGrid w:val="0"/>
          <w:kern w:val="0"/>
        </w:rPr>
        <w:t>表</w:t>
      </w:r>
      <w:bookmarkEnd w:id="269"/>
    </w:p>
    <w:p>
      <w:pPr>
        <w:spacing w:line="312" w:lineRule="exact"/>
        <w:ind w:firstLine="420" w:firstLineChars="200"/>
      </w:pPr>
      <w:r>
        <w:rPr>
          <w:rFonts w:hint="eastAsia"/>
        </w:rPr>
        <w:t>使用条件表见表7。</w:t>
      </w:r>
    </w:p>
    <w:p>
      <w:pPr>
        <w:pStyle w:val="16"/>
      </w:pPr>
      <w:r>
        <w:rPr>
          <w:rFonts w:hint="eastAsia"/>
        </w:rPr>
        <w:t>表7　使 用 条 件 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31"/>
        <w:gridCol w:w="1470"/>
        <w:gridCol w:w="2496"/>
        <w:gridCol w:w="1149"/>
        <w:gridCol w:w="1345"/>
        <w:gridCol w:w="143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tcMar>
              <w:left w:w="0" w:type="dxa"/>
              <w:right w:w="0" w:type="dxa"/>
            </w:tcMar>
            <w:vAlign w:val="center"/>
          </w:tcPr>
          <w:p>
            <w:pPr>
              <w:pStyle w:val="20"/>
              <w:spacing w:before="70" w:after="70"/>
            </w:pPr>
            <w:r>
              <w:t>序号</w:t>
            </w:r>
          </w:p>
        </w:tc>
        <w:tc>
          <w:tcPr>
            <w:tcW w:w="3966" w:type="dxa"/>
            <w:gridSpan w:val="2"/>
            <w:tcMar>
              <w:left w:w="0" w:type="dxa"/>
              <w:right w:w="0" w:type="dxa"/>
            </w:tcMar>
            <w:vAlign w:val="center"/>
          </w:tcPr>
          <w:p>
            <w:pPr>
              <w:pStyle w:val="20"/>
              <w:spacing w:before="70" w:after="70"/>
            </w:pPr>
            <w:r>
              <w:t>名</w:t>
            </w:r>
            <w:r>
              <w:rPr>
                <w:rFonts w:hint="eastAsia"/>
              </w:rPr>
              <w:t xml:space="preserve">  </w:t>
            </w:r>
            <w:r>
              <w:t xml:space="preserve">  称</w:t>
            </w:r>
          </w:p>
        </w:tc>
        <w:tc>
          <w:tcPr>
            <w:tcW w:w="1149" w:type="dxa"/>
            <w:tcMar>
              <w:left w:w="0" w:type="dxa"/>
              <w:right w:w="0" w:type="dxa"/>
            </w:tcMar>
            <w:vAlign w:val="center"/>
          </w:tcPr>
          <w:p>
            <w:pPr>
              <w:pStyle w:val="20"/>
              <w:spacing w:before="70" w:after="70"/>
            </w:pPr>
            <w:r>
              <w:t>单位</w:t>
            </w:r>
          </w:p>
        </w:tc>
        <w:tc>
          <w:tcPr>
            <w:tcW w:w="1345" w:type="dxa"/>
            <w:tcMar>
              <w:left w:w="0" w:type="dxa"/>
              <w:right w:w="0" w:type="dxa"/>
            </w:tcMar>
            <w:vAlign w:val="center"/>
          </w:tcPr>
          <w:p>
            <w:pPr>
              <w:pStyle w:val="20"/>
              <w:spacing w:before="70" w:after="70"/>
            </w:pPr>
            <w:r>
              <w:t>招标人</w:t>
            </w:r>
            <w:r>
              <w:rPr>
                <w:snapToGrid w:val="0"/>
                <w:kern w:val="0"/>
              </w:rPr>
              <w:t>要求值</w:t>
            </w:r>
          </w:p>
        </w:tc>
        <w:tc>
          <w:tcPr>
            <w:tcW w:w="1435" w:type="dxa"/>
            <w:tcMar>
              <w:left w:w="0" w:type="dxa"/>
              <w:right w:w="0" w:type="dxa"/>
            </w:tcMar>
            <w:vAlign w:val="center"/>
          </w:tcPr>
          <w:p>
            <w:pPr>
              <w:pStyle w:val="20"/>
              <w:spacing w:before="70" w:after="70"/>
            </w:pPr>
            <w:r>
              <w:t>投标人</w:t>
            </w:r>
            <w:r>
              <w:rPr>
                <w:snapToGrid w:val="0"/>
                <w:kern w:val="0"/>
              </w:rPr>
              <w:t>保证值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tcMar>
              <w:left w:w="0" w:type="dxa"/>
              <w:right w:w="0" w:type="dxa"/>
            </w:tcMar>
            <w:vAlign w:val="center"/>
          </w:tcPr>
          <w:p>
            <w:pPr>
              <w:pStyle w:val="20"/>
              <w:spacing w:before="70" w:after="70"/>
            </w:pPr>
            <w:r>
              <w:rPr>
                <w:rFonts w:hint="eastAsia"/>
              </w:rPr>
              <w:t>1</w:t>
            </w:r>
          </w:p>
        </w:tc>
        <w:tc>
          <w:tcPr>
            <w:tcW w:w="3966" w:type="dxa"/>
            <w:gridSpan w:val="2"/>
            <w:tcMar>
              <w:left w:w="0" w:type="dxa"/>
              <w:right w:w="0" w:type="dxa"/>
            </w:tcMar>
            <w:vAlign w:val="center"/>
          </w:tcPr>
          <w:p>
            <w:pPr>
              <w:pStyle w:val="20"/>
              <w:spacing w:before="70" w:after="70"/>
            </w:pPr>
            <w:r>
              <w:t>电源的频率</w:t>
            </w:r>
          </w:p>
        </w:tc>
        <w:tc>
          <w:tcPr>
            <w:tcW w:w="1149" w:type="dxa"/>
            <w:tcMar>
              <w:left w:w="0" w:type="dxa"/>
              <w:right w:w="0" w:type="dxa"/>
            </w:tcMar>
            <w:vAlign w:val="center"/>
          </w:tcPr>
          <w:p>
            <w:pPr>
              <w:pStyle w:val="20"/>
              <w:spacing w:before="70" w:after="70"/>
            </w:pPr>
            <w:r>
              <w:t>Hz</w:t>
            </w:r>
          </w:p>
        </w:tc>
        <w:tc>
          <w:tcPr>
            <w:tcW w:w="1345" w:type="dxa"/>
            <w:tcMar>
              <w:left w:w="0" w:type="dxa"/>
              <w:right w:w="0" w:type="dxa"/>
            </w:tcMar>
            <w:vAlign w:val="center"/>
          </w:tcPr>
          <w:p>
            <w:pPr>
              <w:pStyle w:val="20"/>
              <w:spacing w:before="70" w:after="70"/>
            </w:pPr>
            <w:r>
              <w:rPr>
                <w:rFonts w:hint="eastAsia"/>
                <w:snapToGrid w:val="0"/>
                <w:kern w:val="0"/>
              </w:rPr>
              <w:t>50</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vMerge w:val="restart"/>
            <w:tcMar>
              <w:left w:w="0" w:type="dxa"/>
              <w:right w:w="0" w:type="dxa"/>
            </w:tcMar>
            <w:vAlign w:val="center"/>
          </w:tcPr>
          <w:p>
            <w:pPr>
              <w:pStyle w:val="20"/>
              <w:spacing w:before="70" w:after="70"/>
            </w:pPr>
            <w:r>
              <w:rPr>
                <w:rFonts w:hint="eastAsia"/>
              </w:rPr>
              <w:t>2</w:t>
            </w:r>
          </w:p>
        </w:tc>
        <w:tc>
          <w:tcPr>
            <w:tcW w:w="1470" w:type="dxa"/>
            <w:vMerge w:val="restart"/>
            <w:tcMar>
              <w:left w:w="0" w:type="dxa"/>
              <w:right w:w="0" w:type="dxa"/>
            </w:tcMar>
            <w:vAlign w:val="center"/>
          </w:tcPr>
          <w:p>
            <w:pPr>
              <w:pStyle w:val="20"/>
              <w:spacing w:before="70" w:after="70"/>
              <w:rPr>
                <w:b/>
                <w:bCs/>
              </w:rPr>
            </w:pPr>
            <w:r>
              <w:t>环境温度</w:t>
            </w:r>
          </w:p>
        </w:tc>
        <w:tc>
          <w:tcPr>
            <w:tcW w:w="2496" w:type="dxa"/>
            <w:tcMar>
              <w:left w:w="0" w:type="dxa"/>
              <w:right w:w="0" w:type="dxa"/>
            </w:tcMar>
            <w:vAlign w:val="center"/>
          </w:tcPr>
          <w:p>
            <w:pPr>
              <w:pStyle w:val="20"/>
              <w:spacing w:before="70" w:after="70"/>
              <w:rPr>
                <w:b/>
                <w:bCs/>
              </w:rPr>
            </w:pPr>
            <w:r>
              <w:t>日最高温度</w:t>
            </w:r>
          </w:p>
        </w:tc>
        <w:tc>
          <w:tcPr>
            <w:tcW w:w="1149" w:type="dxa"/>
            <w:vMerge w:val="restart"/>
            <w:tcMar>
              <w:left w:w="0" w:type="dxa"/>
              <w:right w:w="0" w:type="dxa"/>
            </w:tcMar>
            <w:vAlign w:val="center"/>
          </w:tcPr>
          <w:p>
            <w:pPr>
              <w:pStyle w:val="20"/>
              <w:spacing w:before="70" w:after="70"/>
              <w:rPr>
                <w:b/>
                <w:bCs/>
              </w:rPr>
            </w:pPr>
            <w:r>
              <w:rPr>
                <w:rFonts w:hint="eastAsia" w:ascii="宋体" w:hAnsi="宋体" w:cs="宋体"/>
              </w:rPr>
              <w:t>℃</w:t>
            </w:r>
          </w:p>
        </w:tc>
        <w:tc>
          <w:tcPr>
            <w:tcW w:w="1345" w:type="dxa"/>
            <w:tcMar>
              <w:left w:w="0" w:type="dxa"/>
              <w:right w:w="0" w:type="dxa"/>
            </w:tcMar>
            <w:vAlign w:val="center"/>
          </w:tcPr>
          <w:p>
            <w:pPr>
              <w:pStyle w:val="20"/>
              <w:spacing w:before="70" w:after="70"/>
            </w:pPr>
            <w:r>
              <w:rPr>
                <w:rFonts w:hint="eastAsia"/>
                <w:snapToGrid w:val="0"/>
                <w:kern w:val="0"/>
              </w:rPr>
              <w:t>40</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vMerge w:val="continue"/>
            <w:tcMar>
              <w:left w:w="0" w:type="dxa"/>
              <w:right w:w="0" w:type="dxa"/>
            </w:tcMar>
            <w:vAlign w:val="center"/>
          </w:tcPr>
          <w:p>
            <w:pPr>
              <w:pStyle w:val="20"/>
              <w:spacing w:before="70" w:after="70"/>
              <w:rPr>
                <w:b/>
                <w:bCs/>
              </w:rPr>
            </w:pPr>
          </w:p>
        </w:tc>
        <w:tc>
          <w:tcPr>
            <w:tcW w:w="1470" w:type="dxa"/>
            <w:vMerge w:val="continue"/>
            <w:tcMar>
              <w:left w:w="0" w:type="dxa"/>
              <w:right w:w="0" w:type="dxa"/>
            </w:tcMar>
            <w:vAlign w:val="center"/>
          </w:tcPr>
          <w:p>
            <w:pPr>
              <w:pStyle w:val="20"/>
              <w:spacing w:before="70" w:after="70"/>
              <w:rPr>
                <w:b/>
                <w:bCs/>
              </w:rPr>
            </w:pPr>
          </w:p>
        </w:tc>
        <w:tc>
          <w:tcPr>
            <w:tcW w:w="2496" w:type="dxa"/>
            <w:tcMar>
              <w:left w:w="0" w:type="dxa"/>
              <w:right w:w="0" w:type="dxa"/>
            </w:tcMar>
            <w:vAlign w:val="center"/>
          </w:tcPr>
          <w:p>
            <w:pPr>
              <w:pStyle w:val="20"/>
              <w:spacing w:before="70" w:after="70"/>
              <w:rPr>
                <w:b/>
                <w:bCs/>
              </w:rPr>
            </w:pPr>
            <w:r>
              <w:t>日最低温度</w:t>
            </w:r>
          </w:p>
        </w:tc>
        <w:tc>
          <w:tcPr>
            <w:tcW w:w="1149" w:type="dxa"/>
            <w:vMerge w:val="continue"/>
            <w:tcMar>
              <w:left w:w="0" w:type="dxa"/>
              <w:right w:w="0" w:type="dxa"/>
            </w:tcMar>
            <w:vAlign w:val="center"/>
          </w:tcPr>
          <w:p>
            <w:pPr>
              <w:pStyle w:val="20"/>
              <w:spacing w:before="70" w:after="70"/>
              <w:rPr>
                <w:b/>
                <w:bCs/>
              </w:rPr>
            </w:pPr>
          </w:p>
        </w:tc>
        <w:tc>
          <w:tcPr>
            <w:tcW w:w="1345" w:type="dxa"/>
            <w:tcMar>
              <w:left w:w="0" w:type="dxa"/>
              <w:right w:w="0" w:type="dxa"/>
            </w:tcMar>
            <w:vAlign w:val="center"/>
          </w:tcPr>
          <w:p>
            <w:pPr>
              <w:pStyle w:val="20"/>
              <w:spacing w:before="70" w:after="70"/>
            </w:pPr>
            <w:r>
              <w:rPr>
                <w:rFonts w:hint="eastAsia"/>
                <w:snapToGrid w:val="0"/>
                <w:kern w:val="0"/>
              </w:rPr>
              <w:t>－10</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vMerge w:val="continue"/>
            <w:tcMar>
              <w:left w:w="0" w:type="dxa"/>
              <w:right w:w="0" w:type="dxa"/>
            </w:tcMar>
            <w:vAlign w:val="center"/>
          </w:tcPr>
          <w:p>
            <w:pPr>
              <w:pStyle w:val="20"/>
              <w:spacing w:before="70" w:after="70"/>
              <w:rPr>
                <w:b/>
                <w:bCs/>
              </w:rPr>
            </w:pPr>
          </w:p>
        </w:tc>
        <w:tc>
          <w:tcPr>
            <w:tcW w:w="1470" w:type="dxa"/>
            <w:vMerge w:val="continue"/>
            <w:tcMar>
              <w:left w:w="0" w:type="dxa"/>
              <w:right w:w="0" w:type="dxa"/>
            </w:tcMar>
            <w:vAlign w:val="center"/>
          </w:tcPr>
          <w:p>
            <w:pPr>
              <w:pStyle w:val="20"/>
              <w:spacing w:before="70" w:after="70"/>
              <w:rPr>
                <w:b/>
                <w:bCs/>
              </w:rPr>
            </w:pPr>
          </w:p>
        </w:tc>
        <w:tc>
          <w:tcPr>
            <w:tcW w:w="2496" w:type="dxa"/>
            <w:tcMar>
              <w:left w:w="0" w:type="dxa"/>
              <w:right w:w="0" w:type="dxa"/>
            </w:tcMar>
            <w:vAlign w:val="center"/>
          </w:tcPr>
          <w:p>
            <w:pPr>
              <w:pStyle w:val="20"/>
              <w:spacing w:before="70" w:after="70"/>
            </w:pPr>
            <w:r>
              <w:t>日最大温差</w:t>
            </w:r>
          </w:p>
        </w:tc>
        <w:tc>
          <w:tcPr>
            <w:tcW w:w="1149" w:type="dxa"/>
            <w:vMerge w:val="continue"/>
            <w:tcMar>
              <w:left w:w="0" w:type="dxa"/>
              <w:right w:w="0" w:type="dxa"/>
            </w:tcMar>
            <w:vAlign w:val="center"/>
          </w:tcPr>
          <w:p>
            <w:pPr>
              <w:pStyle w:val="20"/>
              <w:spacing w:before="70" w:after="70"/>
              <w:rPr>
                <w:b/>
                <w:bCs/>
              </w:rPr>
            </w:pPr>
          </w:p>
        </w:tc>
        <w:tc>
          <w:tcPr>
            <w:tcW w:w="1345" w:type="dxa"/>
            <w:tcMar>
              <w:left w:w="0" w:type="dxa"/>
              <w:right w:w="0" w:type="dxa"/>
            </w:tcMar>
            <w:vAlign w:val="center"/>
          </w:tcPr>
          <w:p>
            <w:pPr>
              <w:pStyle w:val="20"/>
              <w:spacing w:before="70" w:after="70"/>
            </w:pPr>
            <w:r>
              <w:rPr>
                <w:rFonts w:hint="eastAsia"/>
                <w:snapToGrid w:val="0"/>
                <w:kern w:val="0"/>
              </w:rPr>
              <w:t>25</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vMerge w:val="restart"/>
            <w:tcMar>
              <w:left w:w="0" w:type="dxa"/>
              <w:right w:w="0" w:type="dxa"/>
            </w:tcMar>
            <w:vAlign w:val="center"/>
          </w:tcPr>
          <w:p>
            <w:pPr>
              <w:pStyle w:val="20"/>
              <w:spacing w:before="70" w:after="70"/>
              <w:rPr>
                <w:b/>
                <w:bCs/>
              </w:rPr>
            </w:pPr>
            <w:r>
              <w:rPr>
                <w:rFonts w:hint="eastAsia"/>
              </w:rPr>
              <w:t>3</w:t>
            </w:r>
          </w:p>
        </w:tc>
        <w:tc>
          <w:tcPr>
            <w:tcW w:w="1470" w:type="dxa"/>
            <w:vMerge w:val="restart"/>
            <w:tcMar>
              <w:left w:w="0" w:type="dxa"/>
              <w:right w:w="0" w:type="dxa"/>
            </w:tcMar>
            <w:vAlign w:val="center"/>
          </w:tcPr>
          <w:p>
            <w:pPr>
              <w:pStyle w:val="20"/>
              <w:spacing w:before="70" w:after="70"/>
              <w:rPr>
                <w:b/>
                <w:bCs/>
              </w:rPr>
            </w:pPr>
            <w:r>
              <w:t>湿度</w:t>
            </w:r>
          </w:p>
        </w:tc>
        <w:tc>
          <w:tcPr>
            <w:tcW w:w="2496" w:type="dxa"/>
            <w:tcMar>
              <w:left w:w="0" w:type="dxa"/>
              <w:right w:w="0" w:type="dxa"/>
            </w:tcMar>
            <w:vAlign w:val="center"/>
          </w:tcPr>
          <w:p>
            <w:pPr>
              <w:pStyle w:val="20"/>
              <w:spacing w:before="70" w:after="70"/>
            </w:pPr>
            <w:r>
              <w:t>日相对湿度平均值</w:t>
            </w:r>
          </w:p>
        </w:tc>
        <w:tc>
          <w:tcPr>
            <w:tcW w:w="1149" w:type="dxa"/>
            <w:vMerge w:val="restart"/>
            <w:tcMar>
              <w:left w:w="0" w:type="dxa"/>
              <w:right w:w="0" w:type="dxa"/>
            </w:tcMar>
            <w:vAlign w:val="center"/>
          </w:tcPr>
          <w:p>
            <w:pPr>
              <w:pStyle w:val="20"/>
              <w:spacing w:before="70" w:after="70"/>
              <w:rPr>
                <w:b/>
                <w:bCs/>
              </w:rPr>
            </w:pPr>
            <w:r>
              <w:t>％</w:t>
            </w:r>
          </w:p>
        </w:tc>
        <w:tc>
          <w:tcPr>
            <w:tcW w:w="1345" w:type="dxa"/>
            <w:tcMar>
              <w:left w:w="0" w:type="dxa"/>
              <w:right w:w="0" w:type="dxa"/>
            </w:tcMar>
            <w:vAlign w:val="center"/>
          </w:tcPr>
          <w:p>
            <w:pPr>
              <w:pStyle w:val="20"/>
              <w:spacing w:before="70" w:after="70"/>
              <w:rPr>
                <w:snapToGrid w:val="0"/>
                <w:kern w:val="0"/>
              </w:rPr>
            </w:pPr>
            <w:r>
              <w:rPr>
                <w:rFonts w:hint="eastAsia"/>
                <w:snapToGrid w:val="0"/>
                <w:kern w:val="0"/>
              </w:rPr>
              <w:t>≤95</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vMerge w:val="continue"/>
            <w:tcMar>
              <w:left w:w="0" w:type="dxa"/>
              <w:right w:w="0" w:type="dxa"/>
            </w:tcMar>
            <w:vAlign w:val="center"/>
          </w:tcPr>
          <w:p>
            <w:pPr>
              <w:pStyle w:val="20"/>
              <w:spacing w:before="70" w:after="70"/>
              <w:rPr>
                <w:b/>
                <w:bCs/>
              </w:rPr>
            </w:pPr>
          </w:p>
        </w:tc>
        <w:tc>
          <w:tcPr>
            <w:tcW w:w="1470" w:type="dxa"/>
            <w:vMerge w:val="continue"/>
            <w:tcMar>
              <w:left w:w="0" w:type="dxa"/>
              <w:right w:w="0" w:type="dxa"/>
            </w:tcMar>
            <w:vAlign w:val="center"/>
          </w:tcPr>
          <w:p>
            <w:pPr>
              <w:pStyle w:val="20"/>
              <w:spacing w:before="70" w:after="70"/>
              <w:rPr>
                <w:b/>
                <w:bCs/>
              </w:rPr>
            </w:pPr>
          </w:p>
        </w:tc>
        <w:tc>
          <w:tcPr>
            <w:tcW w:w="2496" w:type="dxa"/>
            <w:tcMar>
              <w:left w:w="0" w:type="dxa"/>
              <w:right w:w="0" w:type="dxa"/>
            </w:tcMar>
            <w:vAlign w:val="center"/>
          </w:tcPr>
          <w:p>
            <w:pPr>
              <w:pStyle w:val="20"/>
              <w:spacing w:before="70" w:after="70"/>
            </w:pPr>
            <w:r>
              <w:t>月相对湿度平均值</w:t>
            </w:r>
          </w:p>
        </w:tc>
        <w:tc>
          <w:tcPr>
            <w:tcW w:w="1149" w:type="dxa"/>
            <w:vMerge w:val="continue"/>
            <w:tcMar>
              <w:left w:w="0" w:type="dxa"/>
              <w:right w:w="0" w:type="dxa"/>
            </w:tcMar>
            <w:vAlign w:val="center"/>
          </w:tcPr>
          <w:p>
            <w:pPr>
              <w:pStyle w:val="20"/>
              <w:spacing w:before="70" w:after="70"/>
              <w:rPr>
                <w:b/>
                <w:bCs/>
              </w:rPr>
            </w:pPr>
          </w:p>
        </w:tc>
        <w:tc>
          <w:tcPr>
            <w:tcW w:w="1345" w:type="dxa"/>
            <w:tcMar>
              <w:left w:w="0" w:type="dxa"/>
              <w:right w:w="0" w:type="dxa"/>
            </w:tcMar>
            <w:vAlign w:val="center"/>
          </w:tcPr>
          <w:p>
            <w:pPr>
              <w:pStyle w:val="20"/>
              <w:spacing w:before="70" w:after="70"/>
              <w:rPr>
                <w:snapToGrid w:val="0"/>
                <w:kern w:val="0"/>
              </w:rPr>
            </w:pPr>
            <w:r>
              <w:rPr>
                <w:rFonts w:hint="eastAsia"/>
                <w:snapToGrid w:val="0"/>
                <w:kern w:val="0"/>
              </w:rPr>
              <w:t>≤90</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tcMar>
              <w:left w:w="0" w:type="dxa"/>
              <w:right w:w="0" w:type="dxa"/>
            </w:tcMar>
            <w:vAlign w:val="center"/>
          </w:tcPr>
          <w:p>
            <w:pPr>
              <w:pStyle w:val="20"/>
              <w:spacing w:before="70" w:after="70"/>
            </w:pPr>
            <w:r>
              <w:rPr>
                <w:rFonts w:hint="eastAsia"/>
              </w:rPr>
              <w:t>4</w:t>
            </w:r>
          </w:p>
        </w:tc>
        <w:tc>
          <w:tcPr>
            <w:tcW w:w="3966" w:type="dxa"/>
            <w:gridSpan w:val="2"/>
            <w:tcMar>
              <w:left w:w="0" w:type="dxa"/>
              <w:right w:w="0" w:type="dxa"/>
            </w:tcMar>
            <w:vAlign w:val="center"/>
          </w:tcPr>
          <w:p>
            <w:pPr>
              <w:pStyle w:val="20"/>
              <w:spacing w:before="70" w:after="70"/>
            </w:pPr>
            <w:r>
              <w:t>海拔高度</w:t>
            </w:r>
          </w:p>
        </w:tc>
        <w:tc>
          <w:tcPr>
            <w:tcW w:w="1149" w:type="dxa"/>
            <w:tcMar>
              <w:left w:w="0" w:type="dxa"/>
              <w:right w:w="0" w:type="dxa"/>
            </w:tcMar>
            <w:vAlign w:val="center"/>
          </w:tcPr>
          <w:p>
            <w:pPr>
              <w:pStyle w:val="20"/>
              <w:spacing w:before="70" w:after="70"/>
            </w:pPr>
            <w:r>
              <w:t>m</w:t>
            </w:r>
          </w:p>
        </w:tc>
        <w:tc>
          <w:tcPr>
            <w:tcW w:w="1345" w:type="dxa"/>
            <w:tcMar>
              <w:left w:w="0" w:type="dxa"/>
              <w:right w:w="0" w:type="dxa"/>
            </w:tcMar>
            <w:vAlign w:val="center"/>
          </w:tcPr>
          <w:p>
            <w:pPr>
              <w:pStyle w:val="20"/>
              <w:spacing w:before="70" w:after="70"/>
              <w:rPr>
                <w:snapToGrid w:val="0"/>
                <w:kern w:val="0"/>
              </w:rPr>
            </w:pPr>
            <w:r>
              <w:rPr>
                <w:rFonts w:hint="eastAsia"/>
                <w:snapToGrid w:val="0"/>
                <w:kern w:val="0"/>
              </w:rPr>
              <w:t>≤2000</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vMerge w:val="restart"/>
            <w:tcMar>
              <w:left w:w="0" w:type="dxa"/>
              <w:right w:w="0" w:type="dxa"/>
            </w:tcMar>
            <w:vAlign w:val="center"/>
          </w:tcPr>
          <w:p>
            <w:pPr>
              <w:pStyle w:val="20"/>
              <w:spacing w:before="70" w:after="70"/>
            </w:pPr>
            <w:r>
              <w:rPr>
                <w:rFonts w:hint="eastAsia"/>
              </w:rPr>
              <w:t>5</w:t>
            </w:r>
          </w:p>
        </w:tc>
        <w:tc>
          <w:tcPr>
            <w:tcW w:w="1470" w:type="dxa"/>
            <w:vMerge w:val="restart"/>
            <w:tcMar>
              <w:left w:w="0" w:type="dxa"/>
              <w:right w:w="0" w:type="dxa"/>
            </w:tcMar>
            <w:vAlign w:val="center"/>
          </w:tcPr>
          <w:p>
            <w:pPr>
              <w:pStyle w:val="20"/>
              <w:spacing w:before="70" w:after="70"/>
            </w:pPr>
            <w:r>
              <w:t>耐受地震能力</w:t>
            </w:r>
          </w:p>
        </w:tc>
        <w:tc>
          <w:tcPr>
            <w:tcW w:w="2496" w:type="dxa"/>
            <w:tcMar>
              <w:left w:w="0" w:type="dxa"/>
              <w:right w:w="0" w:type="dxa"/>
            </w:tcMar>
            <w:vAlign w:val="center"/>
          </w:tcPr>
          <w:p>
            <w:pPr>
              <w:pStyle w:val="20"/>
              <w:spacing w:before="70" w:after="70"/>
            </w:pPr>
            <w:r>
              <w:t>水平加速度</w:t>
            </w:r>
          </w:p>
        </w:tc>
        <w:tc>
          <w:tcPr>
            <w:tcW w:w="1149" w:type="dxa"/>
            <w:shd w:val="clear" w:color="auto" w:fill="auto"/>
            <w:tcMar>
              <w:left w:w="0" w:type="dxa"/>
              <w:right w:w="0" w:type="dxa"/>
            </w:tcMar>
            <w:vAlign w:val="center"/>
          </w:tcPr>
          <w:p>
            <w:pPr>
              <w:pStyle w:val="20"/>
              <w:spacing w:before="70" w:after="70"/>
            </w:pPr>
            <w:r>
              <w:rPr>
                <w:rFonts w:hint="eastAsia"/>
              </w:rPr>
              <w:t>m/s</w:t>
            </w:r>
            <w:r>
              <w:rPr>
                <w:rFonts w:hint="eastAsia"/>
                <w:vertAlign w:val="superscript"/>
              </w:rPr>
              <w:t>2</w:t>
            </w:r>
          </w:p>
        </w:tc>
        <w:tc>
          <w:tcPr>
            <w:tcW w:w="1345" w:type="dxa"/>
            <w:shd w:val="clear" w:color="auto" w:fill="auto"/>
            <w:tcMar>
              <w:left w:w="0" w:type="dxa"/>
              <w:right w:w="0" w:type="dxa"/>
            </w:tcMar>
            <w:vAlign w:val="center"/>
          </w:tcPr>
          <w:p>
            <w:pPr>
              <w:pStyle w:val="20"/>
              <w:spacing w:before="70" w:after="70"/>
              <w:rPr>
                <w:snapToGrid w:val="0"/>
                <w:kern w:val="0"/>
              </w:rPr>
            </w:pPr>
            <w:r>
              <w:rPr>
                <w:snapToGrid w:val="0"/>
                <w:kern w:val="0"/>
              </w:rPr>
              <w:t>0.3</w:t>
            </w:r>
            <w:r>
              <w:rPr>
                <w:i/>
                <w:snapToGrid w:val="0"/>
                <w:kern w:val="0"/>
              </w:rPr>
              <w:t>g</w:t>
            </w:r>
          </w:p>
        </w:tc>
        <w:tc>
          <w:tcPr>
            <w:tcW w:w="1435" w:type="dxa"/>
            <w:shd w:val="clear" w:color="auto" w:fill="auto"/>
            <w:tcMar>
              <w:left w:w="0" w:type="dxa"/>
              <w:right w:w="0" w:type="dxa"/>
            </w:tcMar>
            <w:vAlign w:val="center"/>
          </w:tcPr>
          <w:p>
            <w:pPr>
              <w:pStyle w:val="20"/>
              <w:spacing w:before="70" w:after="70"/>
              <w:rPr>
                <w:snapToGrid w:val="0"/>
                <w:kern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vMerge w:val="continue"/>
            <w:tcMar>
              <w:left w:w="0" w:type="dxa"/>
              <w:right w:w="0" w:type="dxa"/>
            </w:tcMar>
            <w:vAlign w:val="center"/>
          </w:tcPr>
          <w:p>
            <w:pPr>
              <w:pStyle w:val="20"/>
              <w:spacing w:before="70" w:after="70"/>
            </w:pPr>
          </w:p>
        </w:tc>
        <w:tc>
          <w:tcPr>
            <w:tcW w:w="1470" w:type="dxa"/>
            <w:vMerge w:val="continue"/>
            <w:tcMar>
              <w:left w:w="0" w:type="dxa"/>
              <w:right w:w="0" w:type="dxa"/>
            </w:tcMar>
            <w:vAlign w:val="center"/>
          </w:tcPr>
          <w:p>
            <w:pPr>
              <w:pStyle w:val="20"/>
              <w:spacing w:before="70" w:after="70"/>
            </w:pPr>
          </w:p>
        </w:tc>
        <w:tc>
          <w:tcPr>
            <w:tcW w:w="2496" w:type="dxa"/>
            <w:tcMar>
              <w:left w:w="0" w:type="dxa"/>
              <w:right w:w="0" w:type="dxa"/>
            </w:tcMar>
            <w:vAlign w:val="center"/>
          </w:tcPr>
          <w:p>
            <w:pPr>
              <w:pStyle w:val="20"/>
              <w:spacing w:before="70" w:after="70"/>
            </w:pPr>
            <w:r>
              <w:t>垂直加速度</w:t>
            </w:r>
          </w:p>
        </w:tc>
        <w:tc>
          <w:tcPr>
            <w:tcW w:w="1149" w:type="dxa"/>
            <w:shd w:val="clear" w:color="auto" w:fill="auto"/>
            <w:tcMar>
              <w:left w:w="0" w:type="dxa"/>
              <w:right w:w="0" w:type="dxa"/>
            </w:tcMar>
            <w:vAlign w:val="center"/>
          </w:tcPr>
          <w:p>
            <w:pPr>
              <w:pStyle w:val="20"/>
              <w:spacing w:before="70" w:after="70"/>
            </w:pPr>
            <w:r>
              <w:rPr>
                <w:rFonts w:hint="eastAsia"/>
              </w:rPr>
              <w:t>m/s</w:t>
            </w:r>
            <w:r>
              <w:rPr>
                <w:rFonts w:hint="eastAsia"/>
                <w:vertAlign w:val="superscript"/>
              </w:rPr>
              <w:t>2</w:t>
            </w:r>
          </w:p>
        </w:tc>
        <w:tc>
          <w:tcPr>
            <w:tcW w:w="1345" w:type="dxa"/>
            <w:shd w:val="clear" w:color="auto" w:fill="auto"/>
            <w:tcMar>
              <w:left w:w="0" w:type="dxa"/>
              <w:right w:w="0" w:type="dxa"/>
            </w:tcMar>
            <w:vAlign w:val="center"/>
          </w:tcPr>
          <w:p>
            <w:pPr>
              <w:pStyle w:val="20"/>
              <w:spacing w:before="70" w:after="70"/>
              <w:rPr>
                <w:snapToGrid w:val="0"/>
                <w:kern w:val="0"/>
              </w:rPr>
            </w:pPr>
            <w:r>
              <w:rPr>
                <w:snapToGrid w:val="0"/>
                <w:kern w:val="0"/>
              </w:rPr>
              <w:t>0.15</w:t>
            </w:r>
            <w:r>
              <w:rPr>
                <w:i/>
                <w:snapToGrid w:val="0"/>
                <w:kern w:val="0"/>
              </w:rPr>
              <w:t>g</w:t>
            </w:r>
          </w:p>
        </w:tc>
        <w:tc>
          <w:tcPr>
            <w:tcW w:w="1435" w:type="dxa"/>
            <w:shd w:val="clear" w:color="auto" w:fill="auto"/>
            <w:tcMar>
              <w:left w:w="0" w:type="dxa"/>
              <w:right w:w="0" w:type="dxa"/>
            </w:tcMar>
            <w:vAlign w:val="center"/>
          </w:tcPr>
          <w:p>
            <w:pPr>
              <w:pStyle w:val="20"/>
              <w:spacing w:before="70" w:after="70"/>
              <w:rPr>
                <w:snapToGrid w:val="0"/>
                <w:kern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tcMar>
              <w:left w:w="0" w:type="dxa"/>
              <w:right w:w="0" w:type="dxa"/>
            </w:tcMar>
            <w:vAlign w:val="center"/>
          </w:tcPr>
          <w:p>
            <w:pPr>
              <w:pStyle w:val="20"/>
              <w:spacing w:before="70" w:after="70"/>
            </w:pPr>
            <w:r>
              <w:rPr>
                <w:rFonts w:hint="eastAsia"/>
              </w:rPr>
              <w:t>6</w:t>
            </w:r>
          </w:p>
        </w:tc>
        <w:tc>
          <w:tcPr>
            <w:tcW w:w="3966" w:type="dxa"/>
            <w:gridSpan w:val="2"/>
            <w:tcMar>
              <w:left w:w="0" w:type="dxa"/>
              <w:right w:w="0" w:type="dxa"/>
            </w:tcMar>
            <w:vAlign w:val="center"/>
          </w:tcPr>
          <w:p>
            <w:pPr>
              <w:pStyle w:val="20"/>
              <w:spacing w:before="70" w:after="70"/>
            </w:pPr>
            <w:r>
              <w:rPr>
                <w:rFonts w:hint="eastAsia"/>
              </w:rPr>
              <w:t>用途</w:t>
            </w:r>
          </w:p>
        </w:tc>
        <w:tc>
          <w:tcPr>
            <w:tcW w:w="1149" w:type="dxa"/>
            <w:tcMar>
              <w:left w:w="0" w:type="dxa"/>
              <w:right w:w="0" w:type="dxa"/>
            </w:tcMar>
            <w:vAlign w:val="center"/>
          </w:tcPr>
          <w:p>
            <w:pPr>
              <w:pStyle w:val="20"/>
              <w:spacing w:before="70" w:after="70"/>
            </w:pPr>
            <w:r>
              <w:rPr>
                <w:rFonts w:hint="eastAsia"/>
              </w:rPr>
              <w:t>组屏</w:t>
            </w:r>
            <w:r>
              <w:t>/</w:t>
            </w:r>
            <w:r>
              <w:rPr>
                <w:rFonts w:hint="eastAsia"/>
              </w:rPr>
              <w:t>单装置</w:t>
            </w:r>
          </w:p>
        </w:tc>
        <w:tc>
          <w:tcPr>
            <w:tcW w:w="1345" w:type="dxa"/>
            <w:tcMar>
              <w:left w:w="0" w:type="dxa"/>
              <w:right w:w="0" w:type="dxa"/>
            </w:tcMar>
            <w:vAlign w:val="center"/>
          </w:tcPr>
          <w:p>
            <w:pPr>
              <w:pStyle w:val="20"/>
              <w:spacing w:before="70" w:after="70"/>
            </w:pPr>
            <w:r>
              <w:rPr>
                <w:rFonts w:hint="eastAsia"/>
                <w:snapToGrid w:val="0"/>
                <w:kern w:val="0"/>
              </w:rPr>
              <w:t>（</w:t>
            </w:r>
            <w:r>
              <w:rPr>
                <w:snapToGrid w:val="0"/>
                <w:kern w:val="0"/>
              </w:rPr>
              <w:t>项目单位提供</w:t>
            </w:r>
            <w:r>
              <w:rPr>
                <w:rFonts w:hint="eastAsia"/>
                <w:snapToGrid w:val="0"/>
                <w:kern w:val="0"/>
              </w:rPr>
              <w:t>）</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31" w:type="dxa"/>
            <w:tcMar>
              <w:left w:w="0" w:type="dxa"/>
              <w:right w:w="0" w:type="dxa"/>
            </w:tcMar>
            <w:vAlign w:val="center"/>
          </w:tcPr>
          <w:p>
            <w:pPr>
              <w:pStyle w:val="20"/>
              <w:spacing w:before="70" w:after="70"/>
            </w:pPr>
            <w:r>
              <w:rPr>
                <w:rFonts w:hint="eastAsia"/>
              </w:rPr>
              <w:t>7</w:t>
            </w:r>
          </w:p>
        </w:tc>
        <w:tc>
          <w:tcPr>
            <w:tcW w:w="3966" w:type="dxa"/>
            <w:gridSpan w:val="2"/>
            <w:tcMar>
              <w:left w:w="0" w:type="dxa"/>
              <w:right w:w="0" w:type="dxa"/>
            </w:tcMar>
            <w:vAlign w:val="center"/>
          </w:tcPr>
          <w:p>
            <w:pPr>
              <w:pStyle w:val="20"/>
              <w:spacing w:before="70" w:after="70"/>
            </w:pPr>
            <w:r>
              <w:t>安装</w:t>
            </w:r>
            <w:r>
              <w:rPr>
                <w:rFonts w:hint="eastAsia"/>
              </w:rPr>
              <w:t>方式</w:t>
            </w:r>
          </w:p>
        </w:tc>
        <w:tc>
          <w:tcPr>
            <w:tcW w:w="1149" w:type="dxa"/>
            <w:tcMar>
              <w:left w:w="0" w:type="dxa"/>
              <w:right w:w="0" w:type="dxa"/>
            </w:tcMar>
            <w:vAlign w:val="center"/>
          </w:tcPr>
          <w:p>
            <w:pPr>
              <w:pStyle w:val="20"/>
              <w:spacing w:before="70" w:after="70"/>
            </w:pPr>
            <w:r>
              <w:rPr>
                <w:rFonts w:hint="eastAsia"/>
              </w:rPr>
              <w:t>集中</w:t>
            </w:r>
            <w:r>
              <w:t>/</w:t>
            </w:r>
            <w:r>
              <w:rPr>
                <w:rFonts w:hint="eastAsia"/>
              </w:rPr>
              <w:t>分散</w:t>
            </w:r>
          </w:p>
        </w:tc>
        <w:tc>
          <w:tcPr>
            <w:tcW w:w="1345" w:type="dxa"/>
            <w:tcMar>
              <w:left w:w="0" w:type="dxa"/>
              <w:right w:w="0" w:type="dxa"/>
            </w:tcMar>
            <w:vAlign w:val="center"/>
          </w:tcPr>
          <w:p>
            <w:pPr>
              <w:pStyle w:val="20"/>
              <w:spacing w:before="70" w:after="70"/>
            </w:pPr>
            <w:r>
              <w:rPr>
                <w:rFonts w:hint="eastAsia"/>
                <w:snapToGrid w:val="0"/>
                <w:kern w:val="0"/>
              </w:rPr>
              <w:t>（</w:t>
            </w:r>
            <w:r>
              <w:rPr>
                <w:snapToGrid w:val="0"/>
                <w:kern w:val="0"/>
              </w:rPr>
              <w:t>项目单位提供</w:t>
            </w:r>
            <w:r>
              <w:rPr>
                <w:rFonts w:hint="eastAsia"/>
                <w:snapToGrid w:val="0"/>
                <w:kern w:val="0"/>
              </w:rPr>
              <w:t>）</w:t>
            </w:r>
          </w:p>
        </w:tc>
        <w:tc>
          <w:tcPr>
            <w:tcW w:w="1435" w:type="dxa"/>
            <w:tcMar>
              <w:left w:w="0" w:type="dxa"/>
              <w:right w:w="0" w:type="dxa"/>
            </w:tcMar>
            <w:vAlign w:val="center"/>
          </w:tcPr>
          <w:p>
            <w:pPr>
              <w:pStyle w:val="20"/>
              <w:spacing w:before="70" w:after="70"/>
            </w:pPr>
            <w:r>
              <w:rPr>
                <w:rFonts w:hint="eastAsia"/>
                <w:snapToGrid w:val="0"/>
                <w:kern w:val="0"/>
              </w:rPr>
              <w:t>（</w:t>
            </w:r>
            <w:r>
              <w:rPr>
                <w:snapToGrid w:val="0"/>
                <w:kern w:val="0"/>
              </w:rPr>
              <w:t>投标人填写</w:t>
            </w:r>
            <w:r>
              <w:rPr>
                <w:rFonts w:hint="eastAsia"/>
                <w:snapToGrid w:val="0"/>
                <w:kern w:val="0"/>
              </w:rPr>
              <w:t>）</w:t>
            </w:r>
          </w:p>
        </w:tc>
      </w:tr>
    </w:tbl>
    <w:p>
      <w:pPr>
        <w:spacing w:line="312" w:lineRule="exact"/>
        <w:ind w:left="798" w:leftChars="200" w:hanging="378"/>
        <w:rPr>
          <w:rFonts w:hAnsi="宋体"/>
          <w:sz w:val="18"/>
        </w:rPr>
      </w:pPr>
      <w:r>
        <w:rPr>
          <w:rFonts w:hint="eastAsia" w:ascii="黑体" w:hAnsi="宋体" w:eastAsia="黑体"/>
          <w:sz w:val="18"/>
        </w:rPr>
        <w:t>注</w:t>
      </w:r>
      <w:r>
        <w:rPr>
          <w:rFonts w:hint="eastAsia" w:hAnsi="宋体"/>
          <w:sz w:val="18"/>
        </w:rPr>
        <w:t xml:space="preserve">  </w:t>
      </w:r>
      <w:r>
        <w:rPr>
          <w:rFonts w:hAnsi="宋体"/>
          <w:sz w:val="18"/>
        </w:rPr>
        <w:t>表中</w:t>
      </w:r>
      <w:r>
        <w:rPr>
          <w:rFonts w:ascii="宋体" w:hAnsi="宋体"/>
          <w:sz w:val="18"/>
        </w:rPr>
        <w:t>“</w:t>
      </w:r>
      <w:r>
        <w:rPr>
          <w:rFonts w:hint="eastAsia" w:hAnsi="宋体"/>
          <w:sz w:val="18"/>
        </w:rPr>
        <w:t>招标人</w:t>
      </w:r>
      <w:r>
        <w:rPr>
          <w:rFonts w:hAnsi="宋体"/>
          <w:sz w:val="18"/>
        </w:rPr>
        <w:t>要求值</w:t>
      </w:r>
      <w:r>
        <w:rPr>
          <w:rFonts w:ascii="宋体" w:hAnsi="宋体"/>
          <w:sz w:val="18"/>
        </w:rPr>
        <w:t>”</w:t>
      </w:r>
      <w:r>
        <w:rPr>
          <w:rFonts w:hAnsi="宋体"/>
          <w:sz w:val="18"/>
        </w:rPr>
        <w:t>为正常使用条件，超出此值时为特殊使用条件，</w:t>
      </w:r>
      <w:r>
        <w:rPr>
          <w:rFonts w:hint="eastAsia" w:hAnsi="宋体"/>
          <w:sz w:val="18"/>
        </w:rPr>
        <w:t>项目单位</w:t>
      </w:r>
      <w:r>
        <w:rPr>
          <w:rFonts w:hAnsi="宋体"/>
          <w:sz w:val="18"/>
        </w:rPr>
        <w:t>可根据工程实际使用条件进行修改</w:t>
      </w:r>
      <w:r>
        <w:rPr>
          <w:rFonts w:hint="eastAsia" w:hAnsi="宋体"/>
          <w:sz w:val="18"/>
        </w:rPr>
        <w:t>。</w:t>
      </w:r>
    </w:p>
    <w:p>
      <w:pPr>
        <w:snapToGrid w:val="0"/>
      </w:pPr>
      <w:bookmarkStart w:id="270" w:name="_Toc250741866"/>
      <w:bookmarkStart w:id="271" w:name="_Toc247772993"/>
      <w:bookmarkStart w:id="272" w:name="_Toc250561863"/>
      <w:bookmarkStart w:id="273" w:name="_Toc250623517"/>
    </w:p>
    <w:p>
      <w:pPr>
        <w:pStyle w:val="13"/>
        <w:rPr>
          <w:snapToGrid w:val="0"/>
          <w:kern w:val="0"/>
        </w:rPr>
      </w:pPr>
      <w:bookmarkStart w:id="274" w:name="_Toc256367621"/>
      <w:r>
        <w:rPr>
          <w:rFonts w:hint="eastAsia"/>
          <w:snapToGrid w:val="0"/>
          <w:kern w:val="0"/>
        </w:rPr>
        <w:t>2.7　项目单位技术差异表</w:t>
      </w:r>
      <w:bookmarkEnd w:id="270"/>
      <w:bookmarkEnd w:id="271"/>
      <w:bookmarkEnd w:id="272"/>
      <w:bookmarkEnd w:id="273"/>
      <w:bookmarkEnd w:id="274"/>
    </w:p>
    <w:p>
      <w:pPr>
        <w:spacing w:line="312" w:lineRule="exact"/>
        <w:ind w:firstLine="420"/>
        <w:textAlignment w:val="baseline"/>
        <w:rPr>
          <w:spacing w:val="10"/>
          <w:szCs w:val="21"/>
        </w:rPr>
      </w:pPr>
      <w:r>
        <w:rPr>
          <w:rFonts w:hint="eastAsia" w:hAnsi="宋体"/>
          <w:spacing w:val="10"/>
          <w:szCs w:val="21"/>
        </w:rPr>
        <w:t>项目单位原则上不能改动通用部分条款及专用部分固化的参数。根据工程使用条件，当污秽等级、海拔高度等与标准技术参数表有差异或对通用部分条款有差异时，应逐项在表</w:t>
      </w:r>
      <w:r>
        <w:rPr>
          <w:rFonts w:hint="eastAsia"/>
          <w:spacing w:val="10"/>
          <w:szCs w:val="21"/>
        </w:rPr>
        <w:t>8</w:t>
      </w:r>
      <w:r>
        <w:rPr>
          <w:rFonts w:hint="eastAsia" w:hAnsi="宋体"/>
          <w:spacing w:val="10"/>
          <w:szCs w:val="21"/>
        </w:rPr>
        <w:t>项目单位技术差异表中列出，并以该差异表给出的参数为准。投标人应对表</w:t>
      </w:r>
      <w:r>
        <w:rPr>
          <w:rFonts w:hint="eastAsia"/>
          <w:spacing w:val="10"/>
          <w:szCs w:val="21"/>
        </w:rPr>
        <w:t>8</w:t>
      </w:r>
      <w:r>
        <w:rPr>
          <w:rFonts w:hint="eastAsia" w:hAnsi="宋体"/>
          <w:spacing w:val="10"/>
          <w:szCs w:val="21"/>
        </w:rPr>
        <w:t>所列的技术参数进行确认。</w:t>
      </w:r>
    </w:p>
    <w:p>
      <w:pPr>
        <w:pStyle w:val="16"/>
      </w:pPr>
      <w:r>
        <w:rPr>
          <w:rFonts w:hint="eastAsia"/>
        </w:rPr>
        <w:t>表8　项目单位技术差异表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440"/>
        <w:gridCol w:w="1972"/>
        <w:gridCol w:w="1972"/>
        <w:gridCol w:w="1972"/>
        <w:gridCol w:w="197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40" w:type="dxa"/>
          </w:tcPr>
          <w:p>
            <w:pPr>
              <w:pStyle w:val="20"/>
            </w:pPr>
            <w:r>
              <w:t>序号</w:t>
            </w:r>
          </w:p>
        </w:tc>
        <w:tc>
          <w:tcPr>
            <w:tcW w:w="1972" w:type="dxa"/>
          </w:tcPr>
          <w:p>
            <w:pPr>
              <w:pStyle w:val="20"/>
            </w:pPr>
            <w:r>
              <w:t xml:space="preserve">项 </w:t>
            </w:r>
            <w:r>
              <w:rPr>
                <w:rFonts w:hint="eastAsia"/>
              </w:rPr>
              <w:t xml:space="preserve">   </w:t>
            </w:r>
            <w:r>
              <w:t>目</w:t>
            </w:r>
          </w:p>
        </w:tc>
        <w:tc>
          <w:tcPr>
            <w:tcW w:w="1972" w:type="dxa"/>
          </w:tcPr>
          <w:p>
            <w:pPr>
              <w:pStyle w:val="20"/>
            </w:pPr>
            <w:r>
              <w:rPr>
                <w:rFonts w:hint="eastAsia"/>
              </w:rPr>
              <w:t>标准参数值</w:t>
            </w:r>
          </w:p>
        </w:tc>
        <w:tc>
          <w:tcPr>
            <w:tcW w:w="1972" w:type="dxa"/>
          </w:tcPr>
          <w:p>
            <w:pPr>
              <w:pStyle w:val="20"/>
            </w:pPr>
            <w:r>
              <w:rPr>
                <w:rFonts w:hint="eastAsia"/>
              </w:rPr>
              <w:t>项目单位要求值</w:t>
            </w:r>
          </w:p>
        </w:tc>
        <w:tc>
          <w:tcPr>
            <w:tcW w:w="1970" w:type="dxa"/>
          </w:tcPr>
          <w:p>
            <w:pPr>
              <w:pStyle w:val="20"/>
            </w:pPr>
            <w:r>
              <w:rPr>
                <w:rFonts w:hint="eastAsia"/>
              </w:rPr>
              <w:t>投标人保证值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40" w:type="dxa"/>
          </w:tcPr>
          <w:p>
            <w:pPr>
              <w:pStyle w:val="20"/>
            </w:pPr>
            <w:r>
              <w:t>1</w:t>
            </w:r>
          </w:p>
        </w:tc>
        <w:tc>
          <w:tcPr>
            <w:tcW w:w="1972" w:type="dxa"/>
          </w:tcPr>
          <w:p>
            <w:pPr>
              <w:pStyle w:val="20"/>
            </w:pPr>
          </w:p>
        </w:tc>
        <w:tc>
          <w:tcPr>
            <w:tcW w:w="1972" w:type="dxa"/>
          </w:tcPr>
          <w:p>
            <w:pPr>
              <w:pStyle w:val="20"/>
            </w:pPr>
          </w:p>
        </w:tc>
        <w:tc>
          <w:tcPr>
            <w:tcW w:w="1972" w:type="dxa"/>
          </w:tcPr>
          <w:p>
            <w:pPr>
              <w:pStyle w:val="20"/>
            </w:pPr>
          </w:p>
        </w:tc>
        <w:tc>
          <w:tcPr>
            <w:tcW w:w="1970" w:type="dxa"/>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40" w:type="dxa"/>
          </w:tcPr>
          <w:p>
            <w:pPr>
              <w:pStyle w:val="20"/>
            </w:pPr>
            <w:r>
              <w:t>2</w:t>
            </w:r>
          </w:p>
        </w:tc>
        <w:tc>
          <w:tcPr>
            <w:tcW w:w="1972" w:type="dxa"/>
          </w:tcPr>
          <w:p>
            <w:pPr>
              <w:pStyle w:val="20"/>
            </w:pPr>
          </w:p>
        </w:tc>
        <w:tc>
          <w:tcPr>
            <w:tcW w:w="1972" w:type="dxa"/>
          </w:tcPr>
          <w:p>
            <w:pPr>
              <w:pStyle w:val="20"/>
            </w:pPr>
          </w:p>
        </w:tc>
        <w:tc>
          <w:tcPr>
            <w:tcW w:w="1972" w:type="dxa"/>
          </w:tcPr>
          <w:p>
            <w:pPr>
              <w:pStyle w:val="20"/>
            </w:pPr>
          </w:p>
        </w:tc>
        <w:tc>
          <w:tcPr>
            <w:tcW w:w="1970" w:type="dxa"/>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40" w:type="dxa"/>
            <w:tcBorders>
              <w:bottom w:val="double" w:color="auto" w:sz="4" w:space="0"/>
            </w:tcBorders>
          </w:tcPr>
          <w:p>
            <w:pPr>
              <w:pStyle w:val="20"/>
            </w:pPr>
          </w:p>
        </w:tc>
        <w:tc>
          <w:tcPr>
            <w:tcW w:w="1972" w:type="dxa"/>
            <w:tcBorders>
              <w:bottom w:val="double" w:color="auto" w:sz="4" w:space="0"/>
            </w:tcBorders>
          </w:tcPr>
          <w:p>
            <w:pPr>
              <w:pStyle w:val="20"/>
              <w:rPr>
                <w:rFonts w:ascii="宋体" w:hAnsi="宋体"/>
              </w:rPr>
            </w:pPr>
            <w:r>
              <w:rPr>
                <w:rFonts w:ascii="宋体" w:hAnsi="宋体"/>
              </w:rPr>
              <w:t>……</w:t>
            </w:r>
          </w:p>
        </w:tc>
        <w:tc>
          <w:tcPr>
            <w:tcW w:w="1972" w:type="dxa"/>
            <w:tcBorders>
              <w:bottom w:val="double" w:color="auto" w:sz="4" w:space="0"/>
            </w:tcBorders>
          </w:tcPr>
          <w:p>
            <w:pPr>
              <w:pStyle w:val="20"/>
            </w:pPr>
          </w:p>
        </w:tc>
        <w:tc>
          <w:tcPr>
            <w:tcW w:w="1972" w:type="dxa"/>
            <w:tcBorders>
              <w:bottom w:val="double" w:color="auto" w:sz="4" w:space="0"/>
            </w:tcBorders>
          </w:tcPr>
          <w:p>
            <w:pPr>
              <w:pStyle w:val="20"/>
            </w:pPr>
          </w:p>
        </w:tc>
        <w:tc>
          <w:tcPr>
            <w:tcW w:w="1970" w:type="dxa"/>
            <w:tcBorders>
              <w:bottom w:val="double" w:color="auto" w:sz="4" w:space="0"/>
            </w:tcBorders>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40" w:type="dxa"/>
            <w:tcBorders>
              <w:top w:val="double" w:color="auto" w:sz="4" w:space="0"/>
            </w:tcBorders>
          </w:tcPr>
          <w:p>
            <w:pPr>
              <w:pStyle w:val="20"/>
            </w:pPr>
            <w:r>
              <w:t>序号</w:t>
            </w:r>
          </w:p>
        </w:tc>
        <w:tc>
          <w:tcPr>
            <w:tcW w:w="1972" w:type="dxa"/>
            <w:tcBorders>
              <w:top w:val="double" w:color="auto" w:sz="4" w:space="0"/>
            </w:tcBorders>
          </w:tcPr>
          <w:p>
            <w:pPr>
              <w:pStyle w:val="20"/>
              <w:rPr>
                <w:rFonts w:ascii="宋体" w:hAnsi="宋体"/>
              </w:rPr>
            </w:pPr>
            <w:r>
              <w:rPr>
                <w:rFonts w:ascii="宋体" w:hAnsi="宋体"/>
              </w:rPr>
              <w:t xml:space="preserve">项 </w:t>
            </w:r>
            <w:r>
              <w:rPr>
                <w:rFonts w:hint="eastAsia" w:ascii="宋体" w:hAnsi="宋体"/>
              </w:rPr>
              <w:t xml:space="preserve">   </w:t>
            </w:r>
            <w:r>
              <w:rPr>
                <w:rFonts w:ascii="宋体" w:hAnsi="宋体"/>
              </w:rPr>
              <w:t>目</w:t>
            </w:r>
          </w:p>
        </w:tc>
        <w:tc>
          <w:tcPr>
            <w:tcW w:w="1972" w:type="dxa"/>
            <w:tcBorders>
              <w:top w:val="double" w:color="auto" w:sz="4" w:space="0"/>
            </w:tcBorders>
          </w:tcPr>
          <w:p>
            <w:pPr>
              <w:pStyle w:val="20"/>
            </w:pPr>
            <w:r>
              <w:rPr>
                <w:rFonts w:hint="eastAsia"/>
              </w:rPr>
              <w:t>变更条款页码、款号</w:t>
            </w:r>
          </w:p>
        </w:tc>
        <w:tc>
          <w:tcPr>
            <w:tcW w:w="1972" w:type="dxa"/>
            <w:tcBorders>
              <w:top w:val="double" w:color="auto" w:sz="4" w:space="0"/>
            </w:tcBorders>
          </w:tcPr>
          <w:p>
            <w:pPr>
              <w:pStyle w:val="20"/>
            </w:pPr>
            <w:r>
              <w:rPr>
                <w:rFonts w:hint="eastAsia"/>
              </w:rPr>
              <w:t>原表达</w:t>
            </w:r>
          </w:p>
        </w:tc>
        <w:tc>
          <w:tcPr>
            <w:tcW w:w="1970" w:type="dxa"/>
            <w:tcBorders>
              <w:top w:val="double" w:color="auto" w:sz="4" w:space="0"/>
            </w:tcBorders>
          </w:tcPr>
          <w:p>
            <w:pPr>
              <w:pStyle w:val="20"/>
            </w:pPr>
            <w:r>
              <w:rPr>
                <w:rFonts w:hint="eastAsia"/>
              </w:rPr>
              <w:t>变更后表达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40" w:type="dxa"/>
          </w:tcPr>
          <w:p>
            <w:pPr>
              <w:pStyle w:val="20"/>
            </w:pPr>
            <w:r>
              <w:rPr>
                <w:rFonts w:hint="eastAsia"/>
              </w:rPr>
              <w:t>1</w:t>
            </w:r>
          </w:p>
        </w:tc>
        <w:tc>
          <w:tcPr>
            <w:tcW w:w="1972" w:type="dxa"/>
          </w:tcPr>
          <w:p>
            <w:pPr>
              <w:pStyle w:val="20"/>
              <w:rPr>
                <w:rFonts w:ascii="宋体" w:hAnsi="宋体"/>
              </w:rPr>
            </w:pPr>
          </w:p>
        </w:tc>
        <w:tc>
          <w:tcPr>
            <w:tcW w:w="1972" w:type="dxa"/>
          </w:tcPr>
          <w:p>
            <w:pPr>
              <w:pStyle w:val="20"/>
            </w:pPr>
          </w:p>
        </w:tc>
        <w:tc>
          <w:tcPr>
            <w:tcW w:w="1972" w:type="dxa"/>
          </w:tcPr>
          <w:p>
            <w:pPr>
              <w:pStyle w:val="20"/>
            </w:pPr>
          </w:p>
        </w:tc>
        <w:tc>
          <w:tcPr>
            <w:tcW w:w="1970" w:type="dxa"/>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40" w:type="dxa"/>
          </w:tcPr>
          <w:p>
            <w:pPr>
              <w:pStyle w:val="20"/>
            </w:pPr>
            <w:r>
              <w:rPr>
                <w:rFonts w:hint="eastAsia"/>
              </w:rPr>
              <w:t>2</w:t>
            </w:r>
          </w:p>
        </w:tc>
        <w:tc>
          <w:tcPr>
            <w:tcW w:w="1972" w:type="dxa"/>
          </w:tcPr>
          <w:p>
            <w:pPr>
              <w:pStyle w:val="20"/>
              <w:rPr>
                <w:rFonts w:ascii="宋体" w:hAnsi="宋体"/>
              </w:rPr>
            </w:pPr>
          </w:p>
        </w:tc>
        <w:tc>
          <w:tcPr>
            <w:tcW w:w="1972" w:type="dxa"/>
          </w:tcPr>
          <w:p>
            <w:pPr>
              <w:pStyle w:val="20"/>
            </w:pPr>
          </w:p>
        </w:tc>
        <w:tc>
          <w:tcPr>
            <w:tcW w:w="1972" w:type="dxa"/>
          </w:tcPr>
          <w:p>
            <w:pPr>
              <w:pStyle w:val="20"/>
            </w:pPr>
          </w:p>
        </w:tc>
        <w:tc>
          <w:tcPr>
            <w:tcW w:w="1970" w:type="dxa"/>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440" w:type="dxa"/>
          </w:tcPr>
          <w:p>
            <w:pPr>
              <w:pStyle w:val="20"/>
            </w:pPr>
          </w:p>
        </w:tc>
        <w:tc>
          <w:tcPr>
            <w:tcW w:w="1972" w:type="dxa"/>
          </w:tcPr>
          <w:p>
            <w:pPr>
              <w:pStyle w:val="20"/>
              <w:rPr>
                <w:rFonts w:ascii="宋体" w:hAnsi="宋体"/>
              </w:rPr>
            </w:pPr>
            <w:r>
              <w:rPr>
                <w:rFonts w:ascii="宋体" w:hAnsi="宋体"/>
              </w:rPr>
              <w:t>……</w:t>
            </w:r>
          </w:p>
        </w:tc>
        <w:tc>
          <w:tcPr>
            <w:tcW w:w="1972" w:type="dxa"/>
          </w:tcPr>
          <w:p>
            <w:pPr>
              <w:pStyle w:val="20"/>
            </w:pPr>
          </w:p>
        </w:tc>
        <w:tc>
          <w:tcPr>
            <w:tcW w:w="1972" w:type="dxa"/>
          </w:tcPr>
          <w:p>
            <w:pPr>
              <w:pStyle w:val="20"/>
            </w:pPr>
          </w:p>
        </w:tc>
        <w:tc>
          <w:tcPr>
            <w:tcW w:w="1970" w:type="dxa"/>
          </w:tcPr>
          <w:p>
            <w:pPr>
              <w:pStyle w:val="20"/>
            </w:pPr>
          </w:p>
        </w:tc>
      </w:tr>
    </w:tbl>
    <w:p>
      <w:pPr>
        <w:spacing w:line="312" w:lineRule="exact"/>
      </w:pPr>
    </w:p>
    <w:p>
      <w:pPr>
        <w:pStyle w:val="13"/>
        <w:rPr>
          <w:snapToGrid w:val="0"/>
          <w:kern w:val="0"/>
        </w:rPr>
      </w:pPr>
      <w:bookmarkStart w:id="275" w:name="_Toc250623518"/>
      <w:bookmarkStart w:id="276" w:name="_Toc250561864"/>
      <w:bookmarkStart w:id="277" w:name="_Toc250741867"/>
      <w:bookmarkStart w:id="278" w:name="_Toc256367622"/>
      <w:bookmarkStart w:id="279" w:name="_Toc247772994"/>
      <w:r>
        <w:rPr>
          <w:rFonts w:hint="eastAsia"/>
          <w:snapToGrid w:val="0"/>
          <w:kern w:val="0"/>
        </w:rPr>
        <w:t>2.8　一次、二次及土建接口要求（适用于扩建工程）</w:t>
      </w:r>
      <w:bookmarkEnd w:id="275"/>
      <w:bookmarkEnd w:id="276"/>
      <w:bookmarkEnd w:id="277"/>
      <w:bookmarkEnd w:id="278"/>
      <w:bookmarkEnd w:id="279"/>
    </w:p>
    <w:p>
      <w:pPr>
        <w:pStyle w:val="12"/>
        <w:rPr>
          <w:snapToGrid w:val="0"/>
        </w:rPr>
      </w:pPr>
      <w:bookmarkStart w:id="280" w:name="_Toc250561865"/>
      <w:bookmarkStart w:id="281" w:name="_Toc256367623"/>
      <w:bookmarkStart w:id="282" w:name="_Toc247772995"/>
      <w:bookmarkStart w:id="283" w:name="_Toc250741868"/>
      <w:bookmarkStart w:id="284" w:name="_Toc250623519"/>
      <w:r>
        <w:rPr>
          <w:rFonts w:hint="eastAsia"/>
          <w:snapToGrid w:val="0"/>
          <w:kern w:val="0"/>
        </w:rPr>
        <w:t>3　投标人响应部分</w:t>
      </w:r>
      <w:bookmarkEnd w:id="280"/>
      <w:bookmarkEnd w:id="281"/>
      <w:bookmarkEnd w:id="282"/>
      <w:bookmarkEnd w:id="283"/>
      <w:bookmarkEnd w:id="284"/>
    </w:p>
    <w:p>
      <w:pPr>
        <w:spacing w:line="312" w:lineRule="exact"/>
        <w:ind w:firstLine="420"/>
        <w:rPr>
          <w:rFonts w:hAnsi="宋体"/>
        </w:rPr>
      </w:pPr>
      <w:r>
        <w:rPr>
          <w:rFonts w:hint="eastAsia"/>
        </w:rPr>
        <w:t>投标人需填写专用部分的第1和第2部分的相应表格。</w:t>
      </w:r>
      <w:r>
        <w:rPr>
          <w:rFonts w:hint="eastAsia" w:hAnsi="宋体"/>
        </w:rPr>
        <w:t>标准技术参数表和项目单位技术差异表中要求值不同时，以项目单位技术差异表为准。“投标人保证值”不能空格，也不能以“响应”两字代替，不允许改动招标人要求值。如有差异，应填写投标人技术偏差表（见表8）。“投标人保证值”应与型式试验报告及其他性能试验报告相符。</w:t>
      </w:r>
    </w:p>
    <w:p>
      <w:pPr>
        <w:pStyle w:val="13"/>
        <w:rPr>
          <w:snapToGrid w:val="0"/>
          <w:kern w:val="0"/>
        </w:rPr>
      </w:pPr>
      <w:bookmarkStart w:id="285" w:name="_Toc247772996"/>
      <w:bookmarkStart w:id="286" w:name="_Toc256367624"/>
      <w:bookmarkStart w:id="287" w:name="_Toc250623520"/>
      <w:bookmarkStart w:id="288" w:name="_Toc250741869"/>
      <w:bookmarkStart w:id="289" w:name="_Toc250561866"/>
      <w:r>
        <w:rPr>
          <w:rFonts w:hint="eastAsia"/>
          <w:snapToGrid w:val="0"/>
          <w:kern w:val="0"/>
        </w:rPr>
        <w:t>3.1　投标人技术偏差表</w:t>
      </w:r>
      <w:bookmarkEnd w:id="285"/>
      <w:bookmarkEnd w:id="286"/>
      <w:bookmarkEnd w:id="287"/>
      <w:bookmarkEnd w:id="288"/>
      <w:bookmarkEnd w:id="289"/>
    </w:p>
    <w:p>
      <w:pPr>
        <w:spacing w:line="312" w:lineRule="exact"/>
        <w:ind w:firstLine="420"/>
      </w:pPr>
      <w:r>
        <w:rPr>
          <w:rFonts w:hint="eastAsia" w:ascii="宋体" w:hAnsi="宋体"/>
        </w:rPr>
        <w:t>投标人提供的产品技术规范应与本规范中规定的要求一致。若有偏差投标人应如实、认真地填写偏差值；若无技术偏差则视为完全满足本规范的要求，且在投标人技术偏差表（见表</w:t>
      </w:r>
      <w:r>
        <w:t>9</w:t>
      </w:r>
      <w:r>
        <w:rPr>
          <w:rFonts w:hint="eastAsia" w:ascii="宋体" w:hAnsi="宋体"/>
        </w:rPr>
        <w:t>）中填写“无偏差”。</w:t>
      </w:r>
    </w:p>
    <w:p>
      <w:pPr>
        <w:pStyle w:val="16"/>
      </w:pPr>
      <w:r>
        <w:rPr>
          <w:rFonts w:hint="eastAsia"/>
        </w:rPr>
        <w:t>表9　</w:t>
      </w:r>
      <w:r>
        <w:rPr>
          <w:rFonts w:hint="eastAsia"/>
          <w:spacing w:val="30"/>
        </w:rPr>
        <w:t>投标人技术偏差表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441"/>
        <w:gridCol w:w="1577"/>
        <w:gridCol w:w="1577"/>
        <w:gridCol w:w="1577"/>
        <w:gridCol w:w="1577"/>
        <w:gridCol w:w="157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441" w:type="dxa"/>
            <w:shd w:val="clear" w:color="auto" w:fill="auto"/>
            <w:tcMar>
              <w:left w:w="0" w:type="dxa"/>
              <w:right w:w="0" w:type="dxa"/>
            </w:tcMar>
            <w:vAlign w:val="center"/>
          </w:tcPr>
          <w:p>
            <w:pPr>
              <w:pStyle w:val="20"/>
            </w:pPr>
            <w:r>
              <w:t>序号</w:t>
            </w:r>
          </w:p>
        </w:tc>
        <w:tc>
          <w:tcPr>
            <w:tcW w:w="1577" w:type="dxa"/>
            <w:shd w:val="clear" w:color="auto" w:fill="auto"/>
            <w:tcMar>
              <w:left w:w="0" w:type="dxa"/>
              <w:right w:w="0" w:type="dxa"/>
            </w:tcMar>
            <w:vAlign w:val="center"/>
          </w:tcPr>
          <w:p>
            <w:pPr>
              <w:pStyle w:val="20"/>
            </w:pPr>
            <w:r>
              <w:t>项  目</w:t>
            </w:r>
          </w:p>
        </w:tc>
        <w:tc>
          <w:tcPr>
            <w:tcW w:w="1577" w:type="dxa"/>
            <w:shd w:val="clear" w:color="auto" w:fill="auto"/>
            <w:tcMar>
              <w:left w:w="0" w:type="dxa"/>
              <w:right w:w="0" w:type="dxa"/>
            </w:tcMar>
            <w:vAlign w:val="center"/>
          </w:tcPr>
          <w:p>
            <w:pPr>
              <w:pStyle w:val="20"/>
            </w:pPr>
            <w:r>
              <w:t>对应条款编号</w:t>
            </w:r>
          </w:p>
        </w:tc>
        <w:tc>
          <w:tcPr>
            <w:tcW w:w="1577" w:type="dxa"/>
            <w:shd w:val="clear" w:color="auto" w:fill="auto"/>
            <w:tcMar>
              <w:left w:w="0" w:type="dxa"/>
              <w:right w:w="0" w:type="dxa"/>
            </w:tcMar>
            <w:vAlign w:val="center"/>
          </w:tcPr>
          <w:p>
            <w:pPr>
              <w:pStyle w:val="20"/>
            </w:pPr>
            <w:r>
              <w:t>技术招标文件要求</w:t>
            </w:r>
          </w:p>
        </w:tc>
        <w:tc>
          <w:tcPr>
            <w:tcW w:w="1577" w:type="dxa"/>
            <w:shd w:val="clear" w:color="auto" w:fill="auto"/>
            <w:tcMar>
              <w:left w:w="0" w:type="dxa"/>
              <w:right w:w="0" w:type="dxa"/>
            </w:tcMar>
            <w:vAlign w:val="center"/>
          </w:tcPr>
          <w:p>
            <w:pPr>
              <w:pStyle w:val="20"/>
            </w:pPr>
            <w:r>
              <w:rPr>
                <w:rFonts w:hint="eastAsia"/>
              </w:rPr>
              <w:t>偏    差</w:t>
            </w:r>
          </w:p>
        </w:tc>
        <w:tc>
          <w:tcPr>
            <w:tcW w:w="1577" w:type="dxa"/>
            <w:shd w:val="clear" w:color="auto" w:fill="auto"/>
            <w:tcMar>
              <w:left w:w="0" w:type="dxa"/>
              <w:right w:w="0" w:type="dxa"/>
            </w:tcMar>
            <w:vAlign w:val="center"/>
          </w:tcPr>
          <w:p>
            <w:pPr>
              <w:pStyle w:val="20"/>
            </w:pPr>
            <w:r>
              <w:t>备</w:t>
            </w:r>
            <w:r>
              <w:rPr>
                <w:rFonts w:hint="eastAsia"/>
              </w:rPr>
              <w:t xml:space="preserve">  </w:t>
            </w:r>
            <w:r>
              <w:t xml:space="preserve">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441" w:type="dxa"/>
            <w:shd w:val="clear" w:color="auto" w:fill="auto"/>
            <w:tcMar>
              <w:left w:w="0" w:type="dxa"/>
              <w:right w:w="0" w:type="dxa"/>
            </w:tcMar>
            <w:vAlign w:val="center"/>
          </w:tcPr>
          <w:p>
            <w:pPr>
              <w:pStyle w:val="20"/>
            </w:pPr>
            <w:r>
              <w:t>1</w:t>
            </w: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441" w:type="dxa"/>
            <w:shd w:val="clear" w:color="auto" w:fill="auto"/>
            <w:tcMar>
              <w:left w:w="0" w:type="dxa"/>
              <w:right w:w="0" w:type="dxa"/>
            </w:tcMar>
            <w:vAlign w:val="center"/>
          </w:tcPr>
          <w:p>
            <w:pPr>
              <w:pStyle w:val="20"/>
            </w:pPr>
            <w:r>
              <w:t>2</w:t>
            </w: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jc w:val="center"/>
        </w:trPr>
        <w:tc>
          <w:tcPr>
            <w:tcW w:w="441" w:type="dxa"/>
            <w:shd w:val="clear" w:color="auto" w:fill="auto"/>
            <w:tcMar>
              <w:left w:w="0" w:type="dxa"/>
              <w:right w:w="0" w:type="dxa"/>
            </w:tcMar>
            <w:vAlign w:val="center"/>
          </w:tcPr>
          <w:p>
            <w:pPr>
              <w:pStyle w:val="20"/>
            </w:pPr>
            <w:r>
              <w:t>3</w:t>
            </w: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c>
          <w:tcPr>
            <w:tcW w:w="1577" w:type="dxa"/>
            <w:shd w:val="clear" w:color="auto" w:fill="auto"/>
            <w:tcMar>
              <w:left w:w="0" w:type="dxa"/>
              <w:right w:w="0" w:type="dxa"/>
            </w:tcMar>
            <w:vAlign w:val="center"/>
          </w:tcPr>
          <w:p>
            <w:pPr>
              <w:pStyle w:val="20"/>
            </w:pPr>
          </w:p>
        </w:tc>
      </w:tr>
    </w:tbl>
    <w:p>
      <w:pPr>
        <w:spacing w:line="312" w:lineRule="exact"/>
        <w:rPr>
          <w:b/>
        </w:rPr>
      </w:pPr>
    </w:p>
    <w:p>
      <w:pPr>
        <w:pStyle w:val="13"/>
        <w:rPr>
          <w:snapToGrid w:val="0"/>
          <w:kern w:val="0"/>
        </w:rPr>
      </w:pPr>
      <w:bookmarkStart w:id="290" w:name="_Toc247772997"/>
      <w:bookmarkStart w:id="291" w:name="_Toc250561867"/>
      <w:bookmarkStart w:id="292" w:name="_Toc250623521"/>
      <w:bookmarkStart w:id="293" w:name="_Toc250741870"/>
      <w:bookmarkStart w:id="294" w:name="_Toc256367625"/>
      <w:r>
        <w:rPr>
          <w:rFonts w:hint="eastAsia"/>
          <w:snapToGrid w:val="0"/>
          <w:kern w:val="0"/>
        </w:rPr>
        <w:t>3.2　销售及运行业绩表</w:t>
      </w:r>
      <w:bookmarkEnd w:id="290"/>
      <w:bookmarkEnd w:id="291"/>
      <w:bookmarkEnd w:id="292"/>
      <w:bookmarkEnd w:id="293"/>
      <w:bookmarkEnd w:id="294"/>
    </w:p>
    <w:p>
      <w:pPr>
        <w:spacing w:line="312" w:lineRule="exact"/>
        <w:ind w:firstLine="420" w:firstLineChars="200"/>
      </w:pPr>
      <w:r>
        <w:rPr>
          <w:rFonts w:hint="eastAsia"/>
        </w:rPr>
        <w:t>销售及运行业绩表见表10。</w:t>
      </w:r>
    </w:p>
    <w:p>
      <w:pPr>
        <w:pStyle w:val="16"/>
      </w:pPr>
      <w:r>
        <w:rPr>
          <w:rFonts w:hint="eastAsia"/>
        </w:rPr>
        <w:t>表10　</w:t>
      </w:r>
      <w:r>
        <w:rPr>
          <w:rFonts w:hint="eastAsia"/>
          <w:spacing w:val="30"/>
        </w:rPr>
        <w:t>销售及运行业绩表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42"/>
        <w:gridCol w:w="1314"/>
        <w:gridCol w:w="1314"/>
        <w:gridCol w:w="1314"/>
        <w:gridCol w:w="1314"/>
        <w:gridCol w:w="1314"/>
        <w:gridCol w:w="13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442" w:type="dxa"/>
            <w:tcMar>
              <w:left w:w="0" w:type="dxa"/>
              <w:right w:w="0" w:type="dxa"/>
            </w:tcMar>
            <w:vAlign w:val="center"/>
          </w:tcPr>
          <w:p>
            <w:pPr>
              <w:pStyle w:val="20"/>
            </w:pPr>
            <w:r>
              <w:rPr>
                <w:rFonts w:hint="eastAsia"/>
              </w:rPr>
              <w:t>序号</w:t>
            </w:r>
          </w:p>
        </w:tc>
        <w:tc>
          <w:tcPr>
            <w:tcW w:w="1314" w:type="dxa"/>
            <w:tcMar>
              <w:left w:w="0" w:type="dxa"/>
              <w:right w:w="0" w:type="dxa"/>
            </w:tcMar>
            <w:vAlign w:val="center"/>
          </w:tcPr>
          <w:p>
            <w:pPr>
              <w:pStyle w:val="20"/>
            </w:pPr>
            <w:r>
              <w:rPr>
                <w:rFonts w:hint="eastAsia"/>
              </w:rPr>
              <w:t>产品型号</w:t>
            </w:r>
          </w:p>
        </w:tc>
        <w:tc>
          <w:tcPr>
            <w:tcW w:w="1314" w:type="dxa"/>
            <w:tcMar>
              <w:left w:w="0" w:type="dxa"/>
              <w:right w:w="0" w:type="dxa"/>
            </w:tcMar>
            <w:vAlign w:val="center"/>
          </w:tcPr>
          <w:p>
            <w:pPr>
              <w:pStyle w:val="20"/>
            </w:pPr>
            <w:r>
              <w:rPr>
                <w:rFonts w:hint="eastAsia"/>
              </w:rPr>
              <w:t>运行单位</w:t>
            </w:r>
          </w:p>
        </w:tc>
        <w:tc>
          <w:tcPr>
            <w:tcW w:w="1314" w:type="dxa"/>
            <w:tcMar>
              <w:left w:w="0" w:type="dxa"/>
              <w:right w:w="0" w:type="dxa"/>
            </w:tcMar>
            <w:vAlign w:val="center"/>
          </w:tcPr>
          <w:p>
            <w:pPr>
              <w:pStyle w:val="20"/>
            </w:pPr>
            <w:r>
              <w:rPr>
                <w:rFonts w:hint="eastAsia"/>
              </w:rPr>
              <w:t>投运数量</w:t>
            </w:r>
          </w:p>
        </w:tc>
        <w:tc>
          <w:tcPr>
            <w:tcW w:w="1314" w:type="dxa"/>
            <w:tcMar>
              <w:left w:w="0" w:type="dxa"/>
              <w:right w:w="0" w:type="dxa"/>
            </w:tcMar>
            <w:vAlign w:val="center"/>
          </w:tcPr>
          <w:p>
            <w:pPr>
              <w:pStyle w:val="20"/>
            </w:pPr>
            <w:r>
              <w:rPr>
                <w:rFonts w:hint="eastAsia"/>
              </w:rPr>
              <w:t>投运时间</w:t>
            </w:r>
          </w:p>
        </w:tc>
        <w:tc>
          <w:tcPr>
            <w:tcW w:w="1314" w:type="dxa"/>
            <w:tcMar>
              <w:left w:w="0" w:type="dxa"/>
              <w:right w:w="0" w:type="dxa"/>
            </w:tcMar>
          </w:tcPr>
          <w:p>
            <w:pPr>
              <w:pStyle w:val="20"/>
            </w:pPr>
            <w:r>
              <w:rPr>
                <w:rFonts w:hint="eastAsia"/>
              </w:rPr>
              <w:t>联系人及电话</w:t>
            </w:r>
          </w:p>
        </w:tc>
        <w:tc>
          <w:tcPr>
            <w:tcW w:w="1314" w:type="dxa"/>
            <w:tcMar>
              <w:left w:w="0" w:type="dxa"/>
              <w:right w:w="0" w:type="dxa"/>
            </w:tcMar>
            <w:vAlign w:val="center"/>
          </w:tcPr>
          <w:p>
            <w:pPr>
              <w:pStyle w:val="20"/>
            </w:pPr>
            <w:r>
              <w:rPr>
                <w:rFonts w:hint="eastAsia"/>
              </w:rPr>
              <w:t>备    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2" w:type="dxa"/>
            <w:tcMar>
              <w:left w:w="0" w:type="dxa"/>
              <w:right w:w="0" w:type="dxa"/>
            </w:tcMar>
            <w:vAlign w:val="center"/>
          </w:tcPr>
          <w:p>
            <w:pPr>
              <w:pStyle w:val="20"/>
            </w:pPr>
            <w:r>
              <w:rPr>
                <w:rFonts w:hint="eastAsia"/>
              </w:rPr>
              <w:t>1</w:t>
            </w: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tcPr>
          <w:p>
            <w:pPr>
              <w:pStyle w:val="20"/>
            </w:pPr>
          </w:p>
        </w:tc>
        <w:tc>
          <w:tcPr>
            <w:tcW w:w="1314" w:type="dxa"/>
            <w:tcMar>
              <w:left w:w="0" w:type="dxa"/>
              <w:right w:w="0" w:type="dxa"/>
            </w:tcMar>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2" w:type="dxa"/>
            <w:tcMar>
              <w:left w:w="0" w:type="dxa"/>
              <w:right w:w="0" w:type="dxa"/>
            </w:tcMar>
            <w:vAlign w:val="center"/>
          </w:tcPr>
          <w:p>
            <w:pPr>
              <w:pStyle w:val="20"/>
            </w:pPr>
            <w:r>
              <w:rPr>
                <w:rFonts w:hint="eastAsia"/>
              </w:rPr>
              <w:t>2</w:t>
            </w: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tcPr>
          <w:p>
            <w:pPr>
              <w:pStyle w:val="20"/>
            </w:pPr>
          </w:p>
        </w:tc>
        <w:tc>
          <w:tcPr>
            <w:tcW w:w="1314" w:type="dxa"/>
            <w:tcMar>
              <w:left w:w="0" w:type="dxa"/>
              <w:right w:w="0" w:type="dxa"/>
            </w:tcMar>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2" w:type="dxa"/>
            <w:tcMar>
              <w:left w:w="0" w:type="dxa"/>
              <w:right w:w="0" w:type="dxa"/>
            </w:tcMar>
            <w:vAlign w:val="center"/>
          </w:tcPr>
          <w:p>
            <w:pPr>
              <w:pStyle w:val="20"/>
            </w:pPr>
            <w:r>
              <w:rPr>
                <w:rFonts w:hint="eastAsia"/>
              </w:rPr>
              <w:t>3</w:t>
            </w: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tcPr>
          <w:p>
            <w:pPr>
              <w:pStyle w:val="20"/>
            </w:pPr>
          </w:p>
        </w:tc>
        <w:tc>
          <w:tcPr>
            <w:tcW w:w="1314" w:type="dxa"/>
            <w:tcMar>
              <w:left w:w="0" w:type="dxa"/>
              <w:right w:w="0" w:type="dxa"/>
            </w:tcMar>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2" w:type="dxa"/>
            <w:tcMar>
              <w:left w:w="0" w:type="dxa"/>
              <w:right w:w="0" w:type="dxa"/>
            </w:tcMar>
            <w:vAlign w:val="center"/>
          </w:tcPr>
          <w:p>
            <w:pPr>
              <w:pStyle w:val="20"/>
            </w:pPr>
            <w:r>
              <w:rPr>
                <w:rFonts w:hint="eastAsia"/>
              </w:rPr>
              <w:t>4</w:t>
            </w: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tcPr>
          <w:p>
            <w:pPr>
              <w:pStyle w:val="20"/>
            </w:pPr>
          </w:p>
        </w:tc>
        <w:tc>
          <w:tcPr>
            <w:tcW w:w="1314" w:type="dxa"/>
            <w:tcMar>
              <w:left w:w="0" w:type="dxa"/>
              <w:right w:w="0" w:type="dxa"/>
            </w:tcMar>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2" w:type="dxa"/>
            <w:tcMar>
              <w:left w:w="0" w:type="dxa"/>
              <w:right w:w="0" w:type="dxa"/>
            </w:tcMar>
            <w:vAlign w:val="center"/>
          </w:tcPr>
          <w:p>
            <w:pPr>
              <w:pStyle w:val="20"/>
            </w:pPr>
            <w:r>
              <w:rPr>
                <w:rFonts w:hint="eastAsia"/>
              </w:rPr>
              <w:t>5</w:t>
            </w: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tcPr>
          <w:p>
            <w:pPr>
              <w:pStyle w:val="20"/>
            </w:pPr>
          </w:p>
        </w:tc>
        <w:tc>
          <w:tcPr>
            <w:tcW w:w="1314" w:type="dxa"/>
            <w:tcMar>
              <w:left w:w="0" w:type="dxa"/>
              <w:right w:w="0" w:type="dxa"/>
            </w:tcMar>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2" w:type="dxa"/>
            <w:tcMar>
              <w:left w:w="0" w:type="dxa"/>
              <w:right w:w="0" w:type="dxa"/>
            </w:tcMar>
            <w:vAlign w:val="center"/>
          </w:tcPr>
          <w:p>
            <w:pPr>
              <w:pStyle w:val="20"/>
            </w:pPr>
            <w:r>
              <w:rPr>
                <w:rFonts w:hint="eastAsia"/>
              </w:rPr>
              <w:t>6</w:t>
            </w: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vAlign w:val="center"/>
          </w:tcPr>
          <w:p>
            <w:pPr>
              <w:pStyle w:val="20"/>
            </w:pPr>
          </w:p>
        </w:tc>
        <w:tc>
          <w:tcPr>
            <w:tcW w:w="1314" w:type="dxa"/>
            <w:tcMar>
              <w:left w:w="0" w:type="dxa"/>
              <w:right w:w="0" w:type="dxa"/>
            </w:tcMar>
          </w:tcPr>
          <w:p>
            <w:pPr>
              <w:pStyle w:val="20"/>
            </w:pPr>
          </w:p>
        </w:tc>
        <w:tc>
          <w:tcPr>
            <w:tcW w:w="1314" w:type="dxa"/>
            <w:tcMar>
              <w:left w:w="0" w:type="dxa"/>
              <w:right w:w="0" w:type="dxa"/>
            </w:tcMar>
            <w:vAlign w:val="center"/>
          </w:tcPr>
          <w:p>
            <w:pPr>
              <w:pStyle w:val="20"/>
            </w:pPr>
          </w:p>
        </w:tc>
      </w:tr>
    </w:tbl>
    <w:p>
      <w:pPr>
        <w:pStyle w:val="13"/>
        <w:rPr>
          <w:snapToGrid w:val="0"/>
          <w:kern w:val="0"/>
        </w:rPr>
      </w:pPr>
      <w:bookmarkStart w:id="295" w:name="_Toc256367626"/>
    </w:p>
    <w:p>
      <w:pPr>
        <w:pStyle w:val="13"/>
        <w:rPr>
          <w:snapToGrid w:val="0"/>
          <w:kern w:val="0"/>
        </w:rPr>
      </w:pPr>
      <w:r>
        <w:rPr>
          <w:rFonts w:hint="eastAsia"/>
          <w:snapToGrid w:val="0"/>
          <w:kern w:val="0"/>
        </w:rPr>
        <w:t>3.3</w:t>
      </w:r>
      <w:bookmarkStart w:id="296" w:name="_Toc247772998"/>
      <w:bookmarkStart w:id="297" w:name="_Toc250561868"/>
      <w:bookmarkStart w:id="298" w:name="_Toc250623522"/>
      <w:bookmarkStart w:id="299" w:name="_Toc250741871"/>
      <w:r>
        <w:rPr>
          <w:rFonts w:hint="eastAsia"/>
          <w:snapToGrid w:val="0"/>
          <w:kern w:val="0"/>
        </w:rPr>
        <w:t>　推荐的备品备件、专用工具和仪器仪表供货</w:t>
      </w:r>
      <w:bookmarkEnd w:id="295"/>
      <w:bookmarkEnd w:id="296"/>
      <w:bookmarkEnd w:id="297"/>
      <w:bookmarkEnd w:id="298"/>
      <w:bookmarkEnd w:id="299"/>
      <w:r>
        <w:rPr>
          <w:rFonts w:hint="eastAsia"/>
          <w:snapToGrid w:val="0"/>
          <w:kern w:val="0"/>
        </w:rPr>
        <w:t>表</w:t>
      </w:r>
    </w:p>
    <w:p>
      <w:pPr>
        <w:ind w:firstLine="420" w:firstLineChars="200"/>
      </w:pPr>
      <w:r>
        <w:rPr>
          <w:rFonts w:hint="eastAsia"/>
        </w:rPr>
        <w:t>推荐的备品备件、专用工具和仪器仪表供货表见表11。</w:t>
      </w:r>
    </w:p>
    <w:p>
      <w:pPr>
        <w:pStyle w:val="16"/>
      </w:pPr>
      <w:r>
        <w:rPr>
          <w:rFonts w:hint="eastAsia"/>
        </w:rPr>
        <w:t>表11　推荐的备品备件、专用工具和仪器仪表供货表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466"/>
        <w:gridCol w:w="1965"/>
        <w:gridCol w:w="1965"/>
        <w:gridCol w:w="1965"/>
        <w:gridCol w:w="19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66" w:type="dxa"/>
            <w:vAlign w:val="center"/>
          </w:tcPr>
          <w:p>
            <w:pPr>
              <w:pStyle w:val="20"/>
            </w:pPr>
            <w:r>
              <w:rPr>
                <w:rFonts w:hint="eastAsia"/>
              </w:rPr>
              <w:t>序号</w:t>
            </w:r>
          </w:p>
        </w:tc>
        <w:tc>
          <w:tcPr>
            <w:tcW w:w="1965" w:type="dxa"/>
            <w:vAlign w:val="center"/>
          </w:tcPr>
          <w:p>
            <w:pPr>
              <w:pStyle w:val="20"/>
            </w:pPr>
            <w:r>
              <w:rPr>
                <w:rFonts w:hint="eastAsia"/>
              </w:rPr>
              <w:t>名    称</w:t>
            </w:r>
          </w:p>
        </w:tc>
        <w:tc>
          <w:tcPr>
            <w:tcW w:w="1965" w:type="dxa"/>
            <w:vAlign w:val="center"/>
          </w:tcPr>
          <w:p>
            <w:pPr>
              <w:pStyle w:val="20"/>
            </w:pPr>
            <w:r>
              <w:rPr>
                <w:rFonts w:hint="eastAsia"/>
              </w:rPr>
              <w:t>型号和规格</w:t>
            </w:r>
          </w:p>
        </w:tc>
        <w:tc>
          <w:tcPr>
            <w:tcW w:w="1965" w:type="dxa"/>
            <w:vAlign w:val="center"/>
          </w:tcPr>
          <w:p>
            <w:pPr>
              <w:pStyle w:val="20"/>
            </w:pPr>
            <w:r>
              <w:rPr>
                <w:rFonts w:hint="eastAsia"/>
              </w:rPr>
              <w:t>单    位</w:t>
            </w:r>
          </w:p>
        </w:tc>
        <w:tc>
          <w:tcPr>
            <w:tcW w:w="1965" w:type="dxa"/>
            <w:vAlign w:val="center"/>
          </w:tcPr>
          <w:p>
            <w:pPr>
              <w:pStyle w:val="20"/>
            </w:pPr>
            <w:r>
              <w:rPr>
                <w:rFonts w:hint="eastAsia"/>
              </w:rPr>
              <w:t>数    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66" w:type="dxa"/>
            <w:vAlign w:val="center"/>
          </w:tcPr>
          <w:p>
            <w:pPr>
              <w:pStyle w:val="20"/>
            </w:pPr>
            <w:r>
              <w:rPr>
                <w:rFonts w:hint="eastAsia"/>
              </w:rPr>
              <w:t>1</w:t>
            </w: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66" w:type="dxa"/>
            <w:vAlign w:val="center"/>
          </w:tcPr>
          <w:p>
            <w:pPr>
              <w:pStyle w:val="20"/>
            </w:pPr>
            <w:r>
              <w:rPr>
                <w:rFonts w:hint="eastAsia"/>
              </w:rPr>
              <w:t>2</w:t>
            </w: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66" w:type="dxa"/>
            <w:vAlign w:val="center"/>
          </w:tcPr>
          <w:p>
            <w:pPr>
              <w:pStyle w:val="20"/>
            </w:pPr>
            <w:r>
              <w:rPr>
                <w:rFonts w:hint="eastAsia"/>
              </w:rPr>
              <w:t>3</w:t>
            </w: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66" w:type="dxa"/>
            <w:vAlign w:val="center"/>
          </w:tcPr>
          <w:p>
            <w:pPr>
              <w:pStyle w:val="20"/>
            </w:pPr>
            <w:r>
              <w:rPr>
                <w:rFonts w:hint="eastAsia"/>
              </w:rPr>
              <w:t>4</w:t>
            </w: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66" w:type="dxa"/>
            <w:vAlign w:val="center"/>
          </w:tcPr>
          <w:p>
            <w:pPr>
              <w:pStyle w:val="20"/>
            </w:pPr>
            <w:r>
              <w:rPr>
                <w:rFonts w:hint="eastAsia"/>
              </w:rPr>
              <w:t>5</w:t>
            </w: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cantSplit/>
          <w:trHeight w:val="20" w:hRule="atLeast"/>
          <w:jc w:val="center"/>
        </w:trPr>
        <w:tc>
          <w:tcPr>
            <w:tcW w:w="466" w:type="dxa"/>
            <w:vAlign w:val="center"/>
          </w:tcPr>
          <w:p>
            <w:pPr>
              <w:pStyle w:val="20"/>
            </w:pPr>
            <w:r>
              <w:rPr>
                <w:rFonts w:hint="eastAsia"/>
              </w:rPr>
              <w:t>6</w:t>
            </w: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c>
          <w:tcPr>
            <w:tcW w:w="1965" w:type="dxa"/>
            <w:vAlign w:val="center"/>
          </w:tcPr>
          <w:p>
            <w:pPr>
              <w:pStyle w:val="20"/>
            </w:pPr>
          </w:p>
        </w:tc>
      </w:tr>
    </w:tbl>
    <w:p>
      <w:pPr>
        <w:pStyle w:val="24"/>
        <w:spacing w:line="312" w:lineRule="exact"/>
        <w:rPr>
          <w:rFonts w:ascii="Times New Roman" w:hAnsi="Times New Roman"/>
          <w:snapToGrid w:val="0"/>
          <w:color w:val="auto"/>
          <w:kern w:val="0"/>
          <w:sz w:val="21"/>
        </w:rPr>
      </w:pPr>
    </w:p>
    <w:p>
      <w:pPr>
        <w:pStyle w:val="13"/>
        <w:rPr>
          <w:snapToGrid w:val="0"/>
          <w:kern w:val="0"/>
        </w:rPr>
      </w:pPr>
      <w:bookmarkStart w:id="300" w:name="_Toc250741872"/>
      <w:bookmarkStart w:id="301" w:name="_Toc256367627"/>
      <w:bookmarkStart w:id="302" w:name="_Toc250623523"/>
      <w:bookmarkStart w:id="303" w:name="_Toc250561869"/>
      <w:bookmarkStart w:id="304" w:name="_Toc247772999"/>
      <w:r>
        <w:rPr>
          <w:rFonts w:hint="eastAsia"/>
          <w:snapToGrid w:val="0"/>
          <w:kern w:val="0"/>
        </w:rPr>
        <w:t>3.4　最终用户的使用情况证明</w:t>
      </w:r>
      <w:bookmarkEnd w:id="300"/>
      <w:bookmarkEnd w:id="301"/>
      <w:bookmarkEnd w:id="302"/>
      <w:bookmarkEnd w:id="303"/>
      <w:bookmarkEnd w:id="304"/>
    </w:p>
    <w:p>
      <w:pPr>
        <w:pStyle w:val="13"/>
        <w:rPr>
          <w:snapToGrid w:val="0"/>
          <w:kern w:val="0"/>
        </w:rPr>
      </w:pPr>
      <w:bookmarkStart w:id="305" w:name="_Toc247773000"/>
      <w:bookmarkStart w:id="306" w:name="_Toc250561870"/>
      <w:bookmarkStart w:id="307" w:name="_Toc250623524"/>
      <w:bookmarkStart w:id="308" w:name="_Toc250741873"/>
      <w:bookmarkStart w:id="309" w:name="_Toc256367628"/>
      <w:r>
        <w:rPr>
          <w:rFonts w:hint="eastAsia"/>
          <w:snapToGrid w:val="0"/>
          <w:kern w:val="0"/>
        </w:rPr>
        <w:t>3.5　投标人提供的试验检测报告表</w:t>
      </w:r>
      <w:bookmarkEnd w:id="305"/>
      <w:bookmarkEnd w:id="306"/>
      <w:bookmarkEnd w:id="307"/>
      <w:bookmarkEnd w:id="308"/>
      <w:bookmarkEnd w:id="309"/>
    </w:p>
    <w:p>
      <w:pPr>
        <w:spacing w:line="312" w:lineRule="exact"/>
        <w:ind w:firstLine="420" w:firstLineChars="200"/>
      </w:pPr>
      <w:r>
        <w:rPr>
          <w:rFonts w:hint="eastAsia"/>
        </w:rPr>
        <w:t>投标人提供的试验检测报告表见表12。</w:t>
      </w:r>
    </w:p>
    <w:p>
      <w:pPr>
        <w:pStyle w:val="16"/>
        <w:rPr>
          <w:rFonts w:ascii="Times New Roman" w:hAnsi="Times New Roman"/>
          <w:snapToGrid w:val="0"/>
        </w:rPr>
      </w:pPr>
      <w:r>
        <w:rPr>
          <w:rFonts w:hint="eastAsia"/>
          <w:snapToGrid w:val="0"/>
        </w:rPr>
        <w:t>表12　投标人提供的试验检测报告表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67"/>
        <w:gridCol w:w="1571"/>
        <w:gridCol w:w="1572"/>
        <w:gridCol w:w="1572"/>
        <w:gridCol w:w="1572"/>
        <w:gridCol w:w="15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7" w:type="dxa"/>
            <w:shd w:val="clear" w:color="auto" w:fill="auto"/>
            <w:tcMar>
              <w:left w:w="0" w:type="dxa"/>
              <w:right w:w="0" w:type="dxa"/>
            </w:tcMar>
            <w:vAlign w:val="center"/>
          </w:tcPr>
          <w:p>
            <w:pPr>
              <w:pStyle w:val="20"/>
            </w:pPr>
            <w:r>
              <w:rPr>
                <w:rFonts w:hint="eastAsia"/>
              </w:rPr>
              <w:t>序号</w:t>
            </w:r>
          </w:p>
        </w:tc>
        <w:tc>
          <w:tcPr>
            <w:tcW w:w="1571" w:type="dxa"/>
            <w:shd w:val="clear" w:color="auto" w:fill="auto"/>
            <w:tcMar>
              <w:left w:w="0" w:type="dxa"/>
              <w:right w:w="0" w:type="dxa"/>
            </w:tcMar>
            <w:vAlign w:val="center"/>
          </w:tcPr>
          <w:p>
            <w:pPr>
              <w:pStyle w:val="20"/>
            </w:pPr>
            <w:r>
              <w:rPr>
                <w:rFonts w:hint="eastAsia"/>
              </w:rPr>
              <w:t>产品型号名称</w:t>
            </w:r>
          </w:p>
        </w:tc>
        <w:tc>
          <w:tcPr>
            <w:tcW w:w="1572" w:type="dxa"/>
            <w:shd w:val="clear" w:color="auto" w:fill="auto"/>
            <w:tcMar>
              <w:left w:w="0" w:type="dxa"/>
              <w:right w:w="0" w:type="dxa"/>
            </w:tcMar>
            <w:vAlign w:val="center"/>
          </w:tcPr>
          <w:p>
            <w:pPr>
              <w:pStyle w:val="20"/>
            </w:pPr>
            <w:r>
              <w:rPr>
                <w:rFonts w:hint="eastAsia"/>
              </w:rPr>
              <w:t>试验报告类别和内容</w:t>
            </w:r>
          </w:p>
        </w:tc>
        <w:tc>
          <w:tcPr>
            <w:tcW w:w="1572" w:type="dxa"/>
            <w:shd w:val="clear" w:color="auto" w:fill="auto"/>
            <w:tcMar>
              <w:left w:w="0" w:type="dxa"/>
              <w:right w:w="0" w:type="dxa"/>
            </w:tcMar>
            <w:vAlign w:val="center"/>
          </w:tcPr>
          <w:p>
            <w:pPr>
              <w:pStyle w:val="20"/>
            </w:pPr>
            <w:r>
              <w:rPr>
                <w:rFonts w:hint="eastAsia"/>
              </w:rPr>
              <w:t>依据标准</w:t>
            </w:r>
          </w:p>
        </w:tc>
        <w:tc>
          <w:tcPr>
            <w:tcW w:w="1572" w:type="dxa"/>
            <w:shd w:val="clear" w:color="auto" w:fill="auto"/>
            <w:tcMar>
              <w:left w:w="0" w:type="dxa"/>
              <w:right w:w="0" w:type="dxa"/>
            </w:tcMar>
            <w:vAlign w:val="center"/>
          </w:tcPr>
          <w:p>
            <w:pPr>
              <w:pStyle w:val="20"/>
            </w:pPr>
            <w:r>
              <w:rPr>
                <w:rFonts w:hint="eastAsia"/>
              </w:rPr>
              <w:t>试验时间</w:t>
            </w:r>
          </w:p>
        </w:tc>
        <w:tc>
          <w:tcPr>
            <w:tcW w:w="1572" w:type="dxa"/>
            <w:shd w:val="clear" w:color="auto" w:fill="auto"/>
            <w:tcMar>
              <w:left w:w="0" w:type="dxa"/>
              <w:right w:w="0" w:type="dxa"/>
            </w:tcMar>
            <w:vAlign w:val="center"/>
          </w:tcPr>
          <w:p>
            <w:pPr>
              <w:pStyle w:val="20"/>
            </w:pPr>
            <w:r>
              <w:rPr>
                <w:rFonts w:hint="eastAsia"/>
              </w:rPr>
              <w:t>试验单位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7" w:type="dxa"/>
            <w:shd w:val="clear" w:color="auto" w:fill="auto"/>
            <w:tcMar>
              <w:left w:w="0" w:type="dxa"/>
              <w:right w:w="0" w:type="dxa"/>
            </w:tcMar>
          </w:tcPr>
          <w:p>
            <w:pPr>
              <w:pStyle w:val="20"/>
            </w:pPr>
            <w:r>
              <w:rPr>
                <w:rFonts w:hint="eastAsia"/>
              </w:rPr>
              <w:t>1</w:t>
            </w:r>
          </w:p>
        </w:tc>
        <w:tc>
          <w:tcPr>
            <w:tcW w:w="1571"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7" w:type="dxa"/>
            <w:shd w:val="clear" w:color="auto" w:fill="auto"/>
            <w:tcMar>
              <w:left w:w="0" w:type="dxa"/>
              <w:right w:w="0" w:type="dxa"/>
            </w:tcMar>
          </w:tcPr>
          <w:p>
            <w:pPr>
              <w:pStyle w:val="20"/>
            </w:pPr>
            <w:r>
              <w:rPr>
                <w:rFonts w:hint="eastAsia"/>
              </w:rPr>
              <w:t>2</w:t>
            </w:r>
          </w:p>
        </w:tc>
        <w:tc>
          <w:tcPr>
            <w:tcW w:w="1571"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7" w:type="dxa"/>
            <w:shd w:val="clear" w:color="auto" w:fill="auto"/>
            <w:tcMar>
              <w:left w:w="0" w:type="dxa"/>
              <w:right w:w="0" w:type="dxa"/>
            </w:tcMar>
          </w:tcPr>
          <w:p>
            <w:pPr>
              <w:pStyle w:val="20"/>
            </w:pPr>
            <w:r>
              <w:rPr>
                <w:rFonts w:hint="eastAsia"/>
              </w:rPr>
              <w:t>3</w:t>
            </w:r>
          </w:p>
        </w:tc>
        <w:tc>
          <w:tcPr>
            <w:tcW w:w="1571"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7" w:type="dxa"/>
            <w:shd w:val="clear" w:color="auto" w:fill="auto"/>
            <w:tcMar>
              <w:left w:w="0" w:type="dxa"/>
              <w:right w:w="0" w:type="dxa"/>
            </w:tcMar>
          </w:tcPr>
          <w:p>
            <w:pPr>
              <w:pStyle w:val="20"/>
            </w:pPr>
            <w:r>
              <w:rPr>
                <w:rFonts w:hint="eastAsia"/>
              </w:rPr>
              <w:t>4</w:t>
            </w:r>
          </w:p>
        </w:tc>
        <w:tc>
          <w:tcPr>
            <w:tcW w:w="1571"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c>
          <w:tcPr>
            <w:tcW w:w="1572" w:type="dxa"/>
            <w:shd w:val="clear" w:color="auto" w:fill="auto"/>
            <w:tcMar>
              <w:left w:w="0" w:type="dxa"/>
              <w:right w:w="0" w:type="dxa"/>
            </w:tcMar>
          </w:tcPr>
          <w:p>
            <w:pPr>
              <w:pStyle w:val="20"/>
              <w:rPr>
                <w:b/>
              </w:rPr>
            </w:pPr>
          </w:p>
        </w:tc>
      </w:tr>
    </w:tbl>
    <w:p>
      <w:pPr>
        <w:spacing w:line="312" w:lineRule="exact"/>
        <w:ind w:firstLine="420" w:firstLineChars="200"/>
      </w:pPr>
    </w:p>
    <w:p>
      <w:pPr>
        <w:pStyle w:val="13"/>
        <w:rPr>
          <w:snapToGrid w:val="0"/>
          <w:kern w:val="0"/>
        </w:rPr>
      </w:pPr>
      <w:bookmarkStart w:id="310" w:name="_Toc256367629"/>
      <w:r>
        <w:rPr>
          <w:rFonts w:hint="eastAsia"/>
          <w:snapToGrid w:val="0"/>
          <w:kern w:val="0"/>
        </w:rPr>
        <w:t>3.6</w:t>
      </w:r>
      <w:bookmarkStart w:id="311" w:name="_Toc247773001"/>
      <w:bookmarkStart w:id="312" w:name="_Toc250561871"/>
      <w:bookmarkStart w:id="313" w:name="_Toc250623525"/>
      <w:bookmarkStart w:id="314" w:name="_Toc250741874"/>
      <w:r>
        <w:rPr>
          <w:rFonts w:hint="eastAsia"/>
          <w:snapToGrid w:val="0"/>
          <w:kern w:val="0"/>
        </w:rPr>
        <w:t>　投标人提供的鉴定证书表</w:t>
      </w:r>
      <w:bookmarkEnd w:id="310"/>
      <w:bookmarkEnd w:id="311"/>
      <w:bookmarkEnd w:id="312"/>
      <w:bookmarkEnd w:id="313"/>
      <w:bookmarkEnd w:id="314"/>
    </w:p>
    <w:p>
      <w:pPr>
        <w:spacing w:line="312" w:lineRule="exact"/>
        <w:ind w:firstLine="420" w:firstLineChars="200"/>
      </w:pPr>
      <w:r>
        <w:rPr>
          <w:rFonts w:hint="eastAsia"/>
        </w:rPr>
        <w:t>投标人提供的鉴定证书表见表13。</w:t>
      </w:r>
    </w:p>
    <w:p>
      <w:pPr>
        <w:pStyle w:val="16"/>
        <w:rPr>
          <w:rFonts w:ascii="Times New Roman" w:hAnsi="Times New Roman"/>
          <w:snapToGrid w:val="0"/>
        </w:rPr>
      </w:pPr>
      <w:r>
        <w:rPr>
          <w:rFonts w:hint="eastAsia"/>
          <w:snapToGrid w:val="0"/>
        </w:rPr>
        <w:t>表13　投标人提供的鉴定证书表</w:t>
      </w:r>
    </w:p>
    <w:tbl>
      <w:tblPr>
        <w:tblStyle w:val="8"/>
        <w:tblW w:w="83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66"/>
        <w:gridCol w:w="1965"/>
        <w:gridCol w:w="1965"/>
        <w:gridCol w:w="1965"/>
        <w:gridCol w:w="19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6" w:type="dxa"/>
            <w:tcMar>
              <w:left w:w="0" w:type="dxa"/>
              <w:right w:w="0" w:type="dxa"/>
            </w:tcMar>
            <w:vAlign w:val="center"/>
          </w:tcPr>
          <w:p>
            <w:pPr>
              <w:pStyle w:val="20"/>
            </w:pPr>
            <w:r>
              <w:rPr>
                <w:rFonts w:hint="eastAsia"/>
              </w:rPr>
              <w:t>序号</w:t>
            </w:r>
          </w:p>
        </w:tc>
        <w:tc>
          <w:tcPr>
            <w:tcW w:w="1965" w:type="dxa"/>
            <w:tcMar>
              <w:left w:w="0" w:type="dxa"/>
              <w:right w:w="0" w:type="dxa"/>
            </w:tcMar>
            <w:vAlign w:val="center"/>
          </w:tcPr>
          <w:p>
            <w:pPr>
              <w:pStyle w:val="20"/>
            </w:pPr>
            <w:r>
              <w:rPr>
                <w:rFonts w:hint="eastAsia"/>
              </w:rPr>
              <w:t>鉴定产品型号名称</w:t>
            </w:r>
          </w:p>
        </w:tc>
        <w:tc>
          <w:tcPr>
            <w:tcW w:w="1965" w:type="dxa"/>
            <w:tcMar>
              <w:left w:w="0" w:type="dxa"/>
              <w:right w:w="0" w:type="dxa"/>
            </w:tcMar>
            <w:vAlign w:val="center"/>
          </w:tcPr>
          <w:p>
            <w:pPr>
              <w:pStyle w:val="20"/>
            </w:pPr>
            <w:r>
              <w:rPr>
                <w:rFonts w:hint="eastAsia"/>
              </w:rPr>
              <w:t>组织鉴定单位</w:t>
            </w:r>
          </w:p>
        </w:tc>
        <w:tc>
          <w:tcPr>
            <w:tcW w:w="1965" w:type="dxa"/>
            <w:tcMar>
              <w:left w:w="0" w:type="dxa"/>
              <w:right w:w="0" w:type="dxa"/>
            </w:tcMar>
            <w:vAlign w:val="center"/>
          </w:tcPr>
          <w:p>
            <w:pPr>
              <w:pStyle w:val="20"/>
            </w:pPr>
            <w:r>
              <w:rPr>
                <w:rFonts w:hint="eastAsia"/>
              </w:rPr>
              <w:t>依  据  标  准</w:t>
            </w:r>
          </w:p>
        </w:tc>
        <w:tc>
          <w:tcPr>
            <w:tcW w:w="1965" w:type="dxa"/>
            <w:tcMar>
              <w:left w:w="0" w:type="dxa"/>
              <w:right w:w="0" w:type="dxa"/>
            </w:tcMar>
            <w:vAlign w:val="center"/>
          </w:tcPr>
          <w:p>
            <w:pPr>
              <w:pStyle w:val="20"/>
            </w:pPr>
            <w:r>
              <w:rPr>
                <w:rFonts w:hint="eastAsia"/>
              </w:rPr>
              <w:t>鉴  定  时  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6" w:type="dxa"/>
            <w:tcMar>
              <w:left w:w="0" w:type="dxa"/>
              <w:right w:w="0" w:type="dxa"/>
            </w:tcMar>
            <w:vAlign w:val="center"/>
          </w:tcPr>
          <w:p>
            <w:pPr>
              <w:pStyle w:val="20"/>
            </w:pPr>
            <w:r>
              <w:rPr>
                <w:rFonts w:hint="eastAsia"/>
              </w:rPr>
              <w:t>1</w:t>
            </w: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6" w:type="dxa"/>
            <w:tcMar>
              <w:left w:w="0" w:type="dxa"/>
              <w:right w:w="0" w:type="dxa"/>
            </w:tcMar>
            <w:vAlign w:val="center"/>
          </w:tcPr>
          <w:p>
            <w:pPr>
              <w:pStyle w:val="20"/>
            </w:pPr>
            <w:r>
              <w:rPr>
                <w:rFonts w:hint="eastAsia"/>
              </w:rPr>
              <w:t>2</w:t>
            </w: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6" w:type="dxa"/>
            <w:tcMar>
              <w:left w:w="0" w:type="dxa"/>
              <w:right w:w="0" w:type="dxa"/>
            </w:tcMar>
            <w:vAlign w:val="center"/>
          </w:tcPr>
          <w:p>
            <w:pPr>
              <w:pStyle w:val="20"/>
            </w:pPr>
            <w:r>
              <w:rPr>
                <w:rFonts w:hint="eastAsia"/>
              </w:rPr>
              <w:t>3</w:t>
            </w: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6" w:type="dxa"/>
            <w:tcMar>
              <w:left w:w="0" w:type="dxa"/>
              <w:right w:w="0" w:type="dxa"/>
            </w:tcMar>
            <w:vAlign w:val="center"/>
          </w:tcPr>
          <w:p>
            <w:pPr>
              <w:pStyle w:val="20"/>
            </w:pPr>
            <w:r>
              <w:rPr>
                <w:rFonts w:hint="eastAsia"/>
              </w:rPr>
              <w:t>4</w:t>
            </w: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66" w:type="dxa"/>
            <w:tcMar>
              <w:left w:w="0" w:type="dxa"/>
              <w:right w:w="0" w:type="dxa"/>
            </w:tcMar>
            <w:vAlign w:val="center"/>
          </w:tcPr>
          <w:p>
            <w:pPr>
              <w:pStyle w:val="20"/>
            </w:pPr>
            <w:r>
              <w:rPr>
                <w:rFonts w:hint="eastAsia"/>
              </w:rPr>
              <w:t>5</w:t>
            </w: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c>
          <w:tcPr>
            <w:tcW w:w="1965" w:type="dxa"/>
            <w:tcMar>
              <w:left w:w="0" w:type="dxa"/>
              <w:right w:w="0" w:type="dxa"/>
            </w:tcMar>
            <w:vAlign w:val="center"/>
          </w:tcPr>
          <w:p>
            <w:pPr>
              <w:pStyle w:val="20"/>
              <w:rPr>
                <w:b/>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汉仪大宋简">
    <w:altName w:val="微软雅黑"/>
    <w:panose1 w:val="00000000000000000000"/>
    <w:charset w:val="86"/>
    <w:family w:val="modern"/>
    <w:pitch w:val="default"/>
    <w:sig w:usb0="00000000" w:usb1="00000000" w:usb2="00000012" w:usb3="00000000" w:csb0="00040000" w:csb1="00000000"/>
  </w:font>
  <w:font w:name="EU-F1">
    <w:altName w:val="微软雅黑"/>
    <w:panose1 w:val="00000000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AdobeHeitiStd-Regular">
    <w:altName w:val="方正舒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83C"/>
    <w:rsid w:val="001C1AF6"/>
    <w:rsid w:val="00245404"/>
    <w:rsid w:val="008C302F"/>
    <w:rsid w:val="009347E1"/>
    <w:rsid w:val="00961379"/>
    <w:rsid w:val="00987E40"/>
    <w:rsid w:val="00C04954"/>
    <w:rsid w:val="00C7683C"/>
    <w:rsid w:val="00EF460B"/>
    <w:rsid w:val="106747AB"/>
    <w:rsid w:val="192618A8"/>
    <w:rsid w:val="488F74F4"/>
    <w:rsid w:val="76831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keepNext/>
      <w:keepLines/>
      <w:topLinePunct/>
      <w:spacing w:line="480" w:lineRule="auto"/>
      <w:ind w:firstLine="420"/>
      <w:textAlignment w:val="baseline"/>
      <w:outlineLvl w:val="0"/>
    </w:pPr>
    <w:rPr>
      <w:rFonts w:eastAsia="汉仪大宋简"/>
      <w:kern w:val="44"/>
      <w:sz w:val="22"/>
      <w:szCs w:val="22"/>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topLinePunct/>
      <w:ind w:firstLine="420"/>
    </w:pPr>
  </w:style>
  <w:style w:type="paragraph" w:styleId="4">
    <w:name w:val="footer"/>
    <w:basedOn w:val="1"/>
    <w:link w:val="23"/>
    <w:uiPriority w:val="0"/>
    <w:pPr>
      <w:tabs>
        <w:tab w:val="center" w:pos="4153"/>
        <w:tab w:val="right" w:pos="8306"/>
      </w:tabs>
      <w:snapToGrid w:val="0"/>
      <w:jc w:val="left"/>
    </w:pPr>
    <w:rPr>
      <w:sz w:val="18"/>
      <w:szCs w:val="18"/>
    </w:rPr>
  </w:style>
  <w:style w:type="paragraph" w:styleId="5">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semiHidden/>
    <w:qFormat/>
    <w:uiPriority w:val="0"/>
    <w:pPr>
      <w:tabs>
        <w:tab w:val="right" w:leader="middleDot" w:pos="9412"/>
      </w:tabs>
      <w:topLinePunct/>
    </w:pPr>
    <w:rPr>
      <w:szCs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标题 1 Char"/>
    <w:basedOn w:val="7"/>
    <w:link w:val="2"/>
    <w:qFormat/>
    <w:uiPriority w:val="0"/>
    <w:rPr>
      <w:rFonts w:eastAsia="汉仪大宋简"/>
      <w:kern w:val="44"/>
      <w:sz w:val="22"/>
      <w:szCs w:val="22"/>
      <w:lang w:val="en-US" w:eastAsia="zh-CN" w:bidi="ar-SA"/>
    </w:rPr>
  </w:style>
  <w:style w:type="paragraph" w:customStyle="1" w:styleId="11">
    <w:name w:val="Char"/>
    <w:basedOn w:val="1"/>
    <w:semiHidden/>
    <w:uiPriority w:val="0"/>
    <w:pPr>
      <w:topLinePunct/>
    </w:pPr>
  </w:style>
  <w:style w:type="paragraph" w:customStyle="1" w:styleId="12">
    <w:name w:val="2z"/>
    <w:basedOn w:val="1"/>
    <w:link w:val="17"/>
    <w:qFormat/>
    <w:uiPriority w:val="0"/>
    <w:pPr>
      <w:topLinePunct/>
      <w:spacing w:line="480" w:lineRule="auto"/>
    </w:pPr>
    <w:rPr>
      <w:rFonts w:ascii="EU-F1" w:eastAsia="黑体"/>
      <w:kern w:val="21"/>
      <w:szCs w:val="21"/>
    </w:rPr>
  </w:style>
  <w:style w:type="paragraph" w:customStyle="1" w:styleId="13">
    <w:name w:val="3z"/>
    <w:basedOn w:val="1"/>
    <w:link w:val="18"/>
    <w:qFormat/>
    <w:uiPriority w:val="0"/>
    <w:pPr>
      <w:topLinePunct/>
      <w:spacing w:line="312" w:lineRule="exact"/>
    </w:pPr>
    <w:rPr>
      <w:rFonts w:ascii="EU-F1" w:eastAsia="黑体"/>
      <w:szCs w:val="21"/>
    </w:rPr>
  </w:style>
  <w:style w:type="paragraph" w:customStyle="1" w:styleId="14">
    <w:name w:val="z"/>
    <w:basedOn w:val="1"/>
    <w:link w:val="15"/>
    <w:qFormat/>
    <w:uiPriority w:val="0"/>
    <w:pPr>
      <w:overflowPunct w:val="0"/>
      <w:topLinePunct/>
      <w:spacing w:line="312" w:lineRule="exact"/>
    </w:pPr>
    <w:rPr>
      <w:rFonts w:ascii="EU-F1" w:eastAsia="EU-F1"/>
      <w:bCs/>
    </w:rPr>
  </w:style>
  <w:style w:type="character" w:customStyle="1" w:styleId="15">
    <w:name w:val="z Char"/>
    <w:basedOn w:val="7"/>
    <w:link w:val="14"/>
    <w:qFormat/>
    <w:uiPriority w:val="0"/>
    <w:rPr>
      <w:rFonts w:ascii="EU-F1" w:eastAsia="EU-F1"/>
      <w:bCs/>
      <w:kern w:val="2"/>
      <w:sz w:val="21"/>
      <w:szCs w:val="24"/>
      <w:lang w:val="en-US" w:eastAsia="zh-CN" w:bidi="ar-SA"/>
    </w:rPr>
  </w:style>
  <w:style w:type="paragraph" w:customStyle="1" w:styleId="16">
    <w:name w:val="b"/>
    <w:basedOn w:val="1"/>
    <w:link w:val="21"/>
    <w:qFormat/>
    <w:uiPriority w:val="0"/>
    <w:pPr>
      <w:tabs>
        <w:tab w:val="center" w:pos="4706"/>
        <w:tab w:val="right" w:pos="9044"/>
      </w:tabs>
      <w:topLinePunct/>
      <w:spacing w:before="160" w:after="60" w:line="312" w:lineRule="exact"/>
      <w:jc w:val="center"/>
    </w:pPr>
    <w:rPr>
      <w:rFonts w:ascii="Arial" w:hAnsi="Arial" w:eastAsia="黑体"/>
      <w:kern w:val="0"/>
      <w:szCs w:val="21"/>
    </w:rPr>
  </w:style>
  <w:style w:type="character" w:customStyle="1" w:styleId="17">
    <w:name w:val="2z Char"/>
    <w:basedOn w:val="7"/>
    <w:link w:val="12"/>
    <w:uiPriority w:val="0"/>
    <w:rPr>
      <w:rFonts w:ascii="EU-F1" w:eastAsia="黑体"/>
      <w:kern w:val="21"/>
      <w:sz w:val="21"/>
      <w:szCs w:val="21"/>
      <w:lang w:val="en-US" w:eastAsia="zh-CN" w:bidi="ar-SA"/>
    </w:rPr>
  </w:style>
  <w:style w:type="character" w:customStyle="1" w:styleId="18">
    <w:name w:val="3z Char"/>
    <w:basedOn w:val="7"/>
    <w:link w:val="13"/>
    <w:qFormat/>
    <w:uiPriority w:val="0"/>
    <w:rPr>
      <w:rFonts w:ascii="EU-F1" w:eastAsia="黑体"/>
      <w:kern w:val="2"/>
      <w:sz w:val="21"/>
      <w:szCs w:val="21"/>
      <w:lang w:val="en-US" w:eastAsia="zh-CN" w:bidi="ar-SA"/>
    </w:rPr>
  </w:style>
  <w:style w:type="paragraph" w:customStyle="1" w:styleId="19">
    <w:name w:val="Char Char Char1 Char Char Char Char"/>
    <w:basedOn w:val="1"/>
    <w:qFormat/>
    <w:uiPriority w:val="0"/>
  </w:style>
  <w:style w:type="paragraph" w:customStyle="1" w:styleId="20">
    <w:name w:val="r"/>
    <w:basedOn w:val="1"/>
    <w:qFormat/>
    <w:uiPriority w:val="0"/>
    <w:pPr>
      <w:widowControl/>
      <w:topLinePunct/>
      <w:snapToGrid w:val="0"/>
      <w:spacing w:before="60" w:after="60"/>
      <w:jc w:val="center"/>
    </w:pPr>
    <w:rPr>
      <w:sz w:val="18"/>
      <w:szCs w:val="18"/>
    </w:rPr>
  </w:style>
  <w:style w:type="character" w:customStyle="1" w:styleId="21">
    <w:name w:val="b Char"/>
    <w:basedOn w:val="7"/>
    <w:link w:val="16"/>
    <w:qFormat/>
    <w:uiPriority w:val="0"/>
    <w:rPr>
      <w:rFonts w:ascii="Arial" w:hAnsi="Arial" w:eastAsia="黑体"/>
      <w:sz w:val="21"/>
      <w:szCs w:val="21"/>
      <w:lang w:val="en-US" w:eastAsia="zh-CN" w:bidi="ar-SA"/>
    </w:rPr>
  </w:style>
  <w:style w:type="character" w:customStyle="1" w:styleId="22">
    <w:name w:val="页眉 Char"/>
    <w:basedOn w:val="7"/>
    <w:link w:val="5"/>
    <w:uiPriority w:val="0"/>
    <w:rPr>
      <w:kern w:val="2"/>
      <w:sz w:val="18"/>
      <w:szCs w:val="18"/>
    </w:rPr>
  </w:style>
  <w:style w:type="character" w:customStyle="1" w:styleId="23">
    <w:name w:val="页脚 Char"/>
    <w:basedOn w:val="7"/>
    <w:link w:val="4"/>
    <w:qFormat/>
    <w:uiPriority w:val="0"/>
    <w:rPr>
      <w:kern w:val="2"/>
      <w:sz w:val="18"/>
      <w:szCs w:val="18"/>
    </w:rPr>
  </w:style>
  <w:style w:type="paragraph" w:customStyle="1" w:styleId="24">
    <w:name w:val="默认段落字体 Para Char Char Char Char Char"/>
    <w:basedOn w:val="1"/>
    <w:semiHidden/>
    <w:qFormat/>
    <w:uiPriority w:val="0"/>
    <w:pPr>
      <w:topLinePunct/>
    </w:pPr>
    <w:rPr>
      <w:rFonts w:ascii="宋体" w:hAnsi="宋体"/>
      <w:b/>
      <w:color w:val="000000"/>
      <w:sz w:val="24"/>
    </w:rPr>
  </w:style>
  <w:style w:type="paragraph" w:customStyle="1" w:styleId="25">
    <w:name w:val="D2"/>
    <w:basedOn w:val="1"/>
    <w:link w:val="26"/>
    <w:qFormat/>
    <w:uiPriority w:val="0"/>
    <w:pPr>
      <w:spacing w:line="312" w:lineRule="exact"/>
    </w:pPr>
    <w:rPr>
      <w:rFonts w:ascii="EU-F1" w:eastAsia="黑体"/>
      <w:kern w:val="21"/>
      <w:szCs w:val="21"/>
    </w:rPr>
  </w:style>
  <w:style w:type="character" w:customStyle="1" w:styleId="26">
    <w:name w:val="D2 Char Char"/>
    <w:basedOn w:val="7"/>
    <w:link w:val="25"/>
    <w:qFormat/>
    <w:uiPriority w:val="0"/>
    <w:rPr>
      <w:rFonts w:ascii="EU-F1" w:eastAsia="黑体"/>
      <w:kern w:val="21"/>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和盛科技</Company>
  <Pages>1</Pages>
  <Words>1759</Words>
  <Characters>10030</Characters>
  <Lines>83</Lines>
  <Paragraphs>23</Paragraphs>
  <TotalTime>0</TotalTime>
  <ScaleCrop>false</ScaleCrop>
  <LinksUpToDate>false</LinksUpToDate>
  <CharactersWithSpaces>11766</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2018-10-06T08:36:00Z</dcterms:created>
  <dc:creator>微软用户</dc:creator>
  <cp:lastModifiedBy>FDSJ</cp:lastModifiedBy>
  <dcterms:modified xsi:type="dcterms:W3CDTF">2023-05-03T01:34:37Z</dcterms:modified>
  <dc:title>青龙建昊土门子215MW光伏发电项目-220kV平方站220kV间隔扩建工程</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